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D8CBC" w14:textId="77777777" w:rsidR="00AF35BD" w:rsidRDefault="00AF35BD" w:rsidP="00AF35BD">
      <w:pPr>
        <w:pStyle w:val="Title"/>
        <w:rPr>
          <w:color w:val="0E284D"/>
          <w:sz w:val="48"/>
          <w:szCs w:val="48"/>
        </w:rPr>
      </w:pPr>
    </w:p>
    <w:p w14:paraId="07D57E9D" w14:textId="77777777" w:rsidR="00AF35BD" w:rsidRDefault="00AF35BD" w:rsidP="00AF35BD">
      <w:pPr>
        <w:pStyle w:val="Title"/>
        <w:rPr>
          <w:color w:val="0E284D"/>
          <w:sz w:val="48"/>
          <w:szCs w:val="48"/>
        </w:rPr>
      </w:pPr>
    </w:p>
    <w:p w14:paraId="20CA5966" w14:textId="77777777" w:rsidR="00AF35BD" w:rsidRDefault="00AF35BD" w:rsidP="00AF35BD">
      <w:pPr>
        <w:pStyle w:val="Title"/>
        <w:rPr>
          <w:color w:val="0E284D"/>
          <w:sz w:val="48"/>
          <w:szCs w:val="48"/>
        </w:rPr>
      </w:pPr>
    </w:p>
    <w:p w14:paraId="269CDA6C" w14:textId="2344712F" w:rsidR="00AF35BD" w:rsidRDefault="00AF35BD" w:rsidP="00AF35BD">
      <w:pPr>
        <w:pStyle w:val="Title"/>
        <w:rPr>
          <w:color w:val="0E284D"/>
          <w:sz w:val="48"/>
          <w:szCs w:val="48"/>
        </w:rPr>
      </w:pPr>
      <w:r>
        <w:rPr>
          <w:color w:val="0E284D"/>
          <w:sz w:val="48"/>
          <w:szCs w:val="48"/>
        </w:rPr>
        <w:t>DAWSON MINE</w:t>
      </w:r>
    </w:p>
    <w:p w14:paraId="6A7417B4" w14:textId="77777777" w:rsidR="00AF35BD" w:rsidRPr="00B5070C" w:rsidRDefault="00AF35BD" w:rsidP="00AF35BD">
      <w:pPr>
        <w:pStyle w:val="BodyText"/>
      </w:pPr>
    </w:p>
    <w:p w14:paraId="02BE569F" w14:textId="1B51DCF9" w:rsidR="00AF35BD" w:rsidRDefault="00AF35BD" w:rsidP="00AF35BD">
      <w:pPr>
        <w:pStyle w:val="Title"/>
        <w:rPr>
          <w:color w:val="0E284D"/>
          <w:sz w:val="44"/>
          <w:szCs w:val="44"/>
        </w:rPr>
      </w:pPr>
      <w:r>
        <w:rPr>
          <w:color w:val="0E284D"/>
          <w:sz w:val="44"/>
          <w:szCs w:val="44"/>
        </w:rPr>
        <w:t>SPECIFICATION</w:t>
      </w:r>
    </w:p>
    <w:p w14:paraId="5B0DB966" w14:textId="77777777" w:rsidR="00AF35BD" w:rsidRDefault="00AF35BD" w:rsidP="00AF35BD">
      <w:pPr>
        <w:pStyle w:val="BodyText"/>
      </w:pPr>
    </w:p>
    <w:p w14:paraId="003E805B" w14:textId="77777777" w:rsidR="00AF35BD" w:rsidRDefault="00AF35BD" w:rsidP="00AF35BD">
      <w:pPr>
        <w:pStyle w:val="Title"/>
        <w:rPr>
          <w:color w:val="0E284D"/>
          <w:sz w:val="44"/>
          <w:szCs w:val="44"/>
        </w:rPr>
      </w:pPr>
      <w:r>
        <w:rPr>
          <w:color w:val="0E284D"/>
          <w:sz w:val="44"/>
          <w:szCs w:val="44"/>
        </w:rPr>
        <w:t>Small portable generators</w:t>
      </w:r>
    </w:p>
    <w:p w14:paraId="48502F0C" w14:textId="78CECAD8" w:rsidR="00AF35BD" w:rsidRDefault="00AF35BD" w:rsidP="00AF35BD">
      <w:pPr>
        <w:pStyle w:val="Title"/>
        <w:rPr>
          <w:color w:val="0E284D"/>
          <w:sz w:val="44"/>
          <w:szCs w:val="44"/>
        </w:rPr>
      </w:pPr>
      <w:r>
        <w:rPr>
          <w:color w:val="0E284D"/>
          <w:sz w:val="44"/>
          <w:szCs w:val="44"/>
        </w:rPr>
        <w:t>&lt;25kVA</w:t>
      </w:r>
    </w:p>
    <w:p w14:paraId="52B5731A" w14:textId="160D7B46" w:rsidR="00AF35BD" w:rsidRDefault="00AF35BD" w:rsidP="00AF35BD"/>
    <w:p w14:paraId="1E3EE334" w14:textId="77777777" w:rsidR="00AF35BD" w:rsidRDefault="00AF35BD" w:rsidP="00AF35BD"/>
    <w:p w14:paraId="60323379" w14:textId="00EDA4D1" w:rsidR="00AF35BD" w:rsidRDefault="00AF35BD" w:rsidP="00AF35BD"/>
    <w:p w14:paraId="37D8A311" w14:textId="0CF4A569" w:rsidR="00AF35BD" w:rsidRDefault="00AF35BD" w:rsidP="00AF35BD"/>
    <w:tbl>
      <w:tblPr>
        <w:tblW w:w="945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6" w:type="dxa"/>
          <w:right w:w="56" w:type="dxa"/>
        </w:tblCellMar>
        <w:tblLook w:val="0000" w:firstRow="0" w:lastRow="0" w:firstColumn="0" w:lastColumn="0" w:noHBand="0" w:noVBand="0"/>
      </w:tblPr>
      <w:tblGrid>
        <w:gridCol w:w="580"/>
        <w:gridCol w:w="1395"/>
        <w:gridCol w:w="665"/>
        <w:gridCol w:w="1185"/>
        <w:gridCol w:w="1593"/>
        <w:gridCol w:w="1038"/>
        <w:gridCol w:w="1106"/>
        <w:gridCol w:w="1894"/>
      </w:tblGrid>
      <w:tr w:rsidR="00AF35BD" w:rsidRPr="001D23D2" w14:paraId="00AF4352" w14:textId="77777777" w:rsidTr="00846780">
        <w:trPr>
          <w:cantSplit/>
          <w:trHeight w:hRule="exact" w:val="655"/>
          <w:jc w:val="center"/>
        </w:trPr>
        <w:tc>
          <w:tcPr>
            <w:tcW w:w="2640" w:type="dxa"/>
            <w:gridSpan w:val="3"/>
            <w:tcBorders>
              <w:bottom w:val="nil"/>
              <w:right w:val="nil"/>
            </w:tcBorders>
            <w:vAlign w:val="center"/>
          </w:tcPr>
          <w:p w14:paraId="1451E8FC" w14:textId="77777777" w:rsidR="00AF35BD" w:rsidRPr="001D23D2" w:rsidRDefault="00AF35BD" w:rsidP="00846780">
            <w:pPr>
              <w:jc w:val="center"/>
              <w:rPr>
                <w:b/>
                <w:sz w:val="16"/>
              </w:rPr>
            </w:pPr>
            <w:r w:rsidRPr="001D23D2">
              <w:rPr>
                <w:b/>
                <w:sz w:val="24"/>
              </w:rPr>
              <w:t>Document Control</w:t>
            </w:r>
          </w:p>
        </w:tc>
        <w:tc>
          <w:tcPr>
            <w:tcW w:w="6816" w:type="dxa"/>
            <w:gridSpan w:val="5"/>
            <w:tcBorders>
              <w:left w:val="nil"/>
              <w:bottom w:val="nil"/>
            </w:tcBorders>
            <w:vAlign w:val="center"/>
          </w:tcPr>
          <w:p w14:paraId="2563CCA9" w14:textId="77777777" w:rsidR="00AF35BD" w:rsidRPr="001D23D2" w:rsidRDefault="00AF35BD" w:rsidP="00846780">
            <w:pPr>
              <w:jc w:val="right"/>
              <w:rPr>
                <w:b/>
                <w:sz w:val="16"/>
              </w:rPr>
            </w:pPr>
          </w:p>
        </w:tc>
      </w:tr>
      <w:tr w:rsidR="00AF35BD" w:rsidRPr="001D23D2" w14:paraId="108FABA0" w14:textId="77777777" w:rsidTr="00846780">
        <w:trPr>
          <w:cantSplit/>
          <w:trHeight w:val="219"/>
          <w:jc w:val="center"/>
        </w:trPr>
        <w:tc>
          <w:tcPr>
            <w:tcW w:w="9456" w:type="dxa"/>
            <w:gridSpan w:val="8"/>
            <w:tcBorders>
              <w:top w:val="nil"/>
            </w:tcBorders>
          </w:tcPr>
          <w:p w14:paraId="5EB63EAF" w14:textId="77777777" w:rsidR="00AF35BD" w:rsidRPr="001D23D2" w:rsidRDefault="00AF35BD" w:rsidP="00846780">
            <w:pPr>
              <w:pStyle w:val="DocID"/>
              <w:rPr>
                <w:b/>
                <w:sz w:val="18"/>
                <w:szCs w:val="18"/>
                <w:lang w:val="fr-FR"/>
              </w:rPr>
            </w:pPr>
          </w:p>
        </w:tc>
      </w:tr>
      <w:tr w:rsidR="00AF35BD" w:rsidRPr="00485F17" w14:paraId="3F3830A5" w14:textId="77777777" w:rsidTr="00846780">
        <w:trPr>
          <w:cantSplit/>
          <w:trHeight w:val="347"/>
          <w:jc w:val="center"/>
        </w:trPr>
        <w:tc>
          <w:tcPr>
            <w:tcW w:w="580" w:type="dxa"/>
            <w:tcBorders>
              <w:right w:val="single" w:sz="4" w:space="0" w:color="auto"/>
            </w:tcBorders>
          </w:tcPr>
          <w:p w14:paraId="72B7D537" w14:textId="77777777" w:rsidR="00AF35BD" w:rsidRPr="00485F17" w:rsidRDefault="00AF35BD" w:rsidP="00846780">
            <w:pPr>
              <w:pStyle w:val="TableText"/>
              <w:rPr>
                <w:b/>
                <w:bCs/>
              </w:rPr>
            </w:pPr>
            <w:r w:rsidRPr="00485F17">
              <w:rPr>
                <w:b/>
                <w:bCs/>
              </w:rPr>
              <w:t>Rev No</w:t>
            </w:r>
          </w:p>
        </w:tc>
        <w:tc>
          <w:tcPr>
            <w:tcW w:w="1395" w:type="dxa"/>
            <w:tcBorders>
              <w:left w:val="single" w:sz="4" w:space="0" w:color="auto"/>
            </w:tcBorders>
          </w:tcPr>
          <w:p w14:paraId="117B92BF" w14:textId="77777777" w:rsidR="00AF35BD" w:rsidRPr="00485F17" w:rsidRDefault="00AF35BD" w:rsidP="00846780">
            <w:pPr>
              <w:pStyle w:val="TableText"/>
              <w:rPr>
                <w:b/>
                <w:bCs/>
              </w:rPr>
            </w:pPr>
            <w:r w:rsidRPr="00485F17">
              <w:rPr>
                <w:b/>
                <w:bCs/>
              </w:rPr>
              <w:t>Date</w:t>
            </w:r>
          </w:p>
          <w:p w14:paraId="4CB9754A" w14:textId="77777777" w:rsidR="00AF35BD" w:rsidRPr="00485F17" w:rsidRDefault="00AF35BD" w:rsidP="00846780">
            <w:pPr>
              <w:pStyle w:val="TableText"/>
              <w:rPr>
                <w:b/>
                <w:bCs/>
              </w:rPr>
            </w:pPr>
          </w:p>
        </w:tc>
        <w:tc>
          <w:tcPr>
            <w:tcW w:w="1850" w:type="dxa"/>
            <w:gridSpan w:val="2"/>
          </w:tcPr>
          <w:p w14:paraId="01D571CD" w14:textId="77777777" w:rsidR="00AF35BD" w:rsidRPr="00485F17" w:rsidRDefault="00AF35BD" w:rsidP="00846780">
            <w:pPr>
              <w:pStyle w:val="TableText"/>
              <w:rPr>
                <w:b/>
                <w:bCs/>
              </w:rPr>
            </w:pPr>
            <w:r w:rsidRPr="00485F17">
              <w:rPr>
                <w:b/>
                <w:bCs/>
              </w:rPr>
              <w:t>Revision Details</w:t>
            </w:r>
          </w:p>
        </w:tc>
        <w:tc>
          <w:tcPr>
            <w:tcW w:w="1593" w:type="dxa"/>
          </w:tcPr>
          <w:p w14:paraId="747B77BF" w14:textId="77777777" w:rsidR="00AF35BD" w:rsidRPr="00485F17" w:rsidRDefault="00AF35BD" w:rsidP="00846780">
            <w:pPr>
              <w:pStyle w:val="TableText"/>
              <w:rPr>
                <w:b/>
                <w:bCs/>
              </w:rPr>
            </w:pPr>
            <w:r w:rsidRPr="00485F17">
              <w:rPr>
                <w:b/>
                <w:bCs/>
              </w:rPr>
              <w:t>Originator</w:t>
            </w:r>
          </w:p>
          <w:p w14:paraId="3FADD605" w14:textId="77777777" w:rsidR="00AF35BD" w:rsidRPr="00485F17" w:rsidRDefault="00AF35BD" w:rsidP="00846780">
            <w:pPr>
              <w:pStyle w:val="TableText"/>
              <w:rPr>
                <w:b/>
                <w:bCs/>
              </w:rPr>
            </w:pPr>
          </w:p>
        </w:tc>
        <w:tc>
          <w:tcPr>
            <w:tcW w:w="1038" w:type="dxa"/>
          </w:tcPr>
          <w:p w14:paraId="0AF8637F" w14:textId="77777777" w:rsidR="00AF35BD" w:rsidRPr="00485F17" w:rsidRDefault="00AF35BD" w:rsidP="00846780">
            <w:pPr>
              <w:pStyle w:val="TableText"/>
              <w:rPr>
                <w:b/>
                <w:bCs/>
              </w:rPr>
            </w:pPr>
            <w:r w:rsidRPr="00485F17">
              <w:rPr>
                <w:b/>
                <w:bCs/>
              </w:rPr>
              <w:t>Checked</w:t>
            </w:r>
          </w:p>
        </w:tc>
        <w:tc>
          <w:tcPr>
            <w:tcW w:w="1106" w:type="dxa"/>
          </w:tcPr>
          <w:p w14:paraId="760DC544" w14:textId="77777777" w:rsidR="00AF35BD" w:rsidRPr="00485F17" w:rsidRDefault="00AF35BD" w:rsidP="00846780">
            <w:pPr>
              <w:pStyle w:val="TableText"/>
              <w:rPr>
                <w:b/>
                <w:bCs/>
              </w:rPr>
            </w:pPr>
            <w:r w:rsidRPr="00485F17">
              <w:rPr>
                <w:b/>
                <w:bCs/>
              </w:rPr>
              <w:t>Discipline</w:t>
            </w:r>
          </w:p>
          <w:p w14:paraId="0955C282" w14:textId="77777777" w:rsidR="00AF35BD" w:rsidRPr="00485F17" w:rsidRDefault="00AF35BD" w:rsidP="00846780">
            <w:pPr>
              <w:pStyle w:val="TableText"/>
              <w:rPr>
                <w:b/>
                <w:bCs/>
              </w:rPr>
            </w:pPr>
            <w:r w:rsidRPr="00485F17">
              <w:rPr>
                <w:b/>
                <w:bCs/>
              </w:rPr>
              <w:t>Lead</w:t>
            </w:r>
          </w:p>
        </w:tc>
        <w:tc>
          <w:tcPr>
            <w:tcW w:w="1894" w:type="dxa"/>
          </w:tcPr>
          <w:p w14:paraId="3A13B1FE" w14:textId="77777777" w:rsidR="00AF35BD" w:rsidRPr="00485F17" w:rsidRDefault="00AF35BD" w:rsidP="00846780">
            <w:pPr>
              <w:pStyle w:val="TableText"/>
              <w:rPr>
                <w:b/>
                <w:bCs/>
              </w:rPr>
            </w:pPr>
            <w:r w:rsidRPr="00485F17">
              <w:rPr>
                <w:b/>
                <w:bCs/>
              </w:rPr>
              <w:t>Engineering</w:t>
            </w:r>
          </w:p>
          <w:p w14:paraId="20A04307" w14:textId="77777777" w:rsidR="00AF35BD" w:rsidRPr="00485F17" w:rsidRDefault="00AF35BD" w:rsidP="00846780">
            <w:pPr>
              <w:pStyle w:val="TableText"/>
              <w:rPr>
                <w:b/>
                <w:bCs/>
              </w:rPr>
            </w:pPr>
            <w:r w:rsidRPr="00485F17">
              <w:rPr>
                <w:b/>
                <w:bCs/>
              </w:rPr>
              <w:t>Manager</w:t>
            </w:r>
          </w:p>
        </w:tc>
      </w:tr>
      <w:tr w:rsidR="00AF35BD" w:rsidRPr="00C93E9A" w14:paraId="512C21B9" w14:textId="77777777" w:rsidTr="00846780">
        <w:trPr>
          <w:cantSplit/>
          <w:trHeight w:val="243"/>
          <w:jc w:val="center"/>
        </w:trPr>
        <w:tc>
          <w:tcPr>
            <w:tcW w:w="580" w:type="dxa"/>
            <w:tcBorders>
              <w:right w:val="single" w:sz="4" w:space="0" w:color="auto"/>
            </w:tcBorders>
            <w:vAlign w:val="center"/>
          </w:tcPr>
          <w:p w14:paraId="69AF0042" w14:textId="77777777" w:rsidR="00AF35BD" w:rsidRPr="001D23D2" w:rsidRDefault="00AF35BD" w:rsidP="00846780">
            <w:pPr>
              <w:spacing w:before="60" w:after="60"/>
              <w:jc w:val="center"/>
              <w:rPr>
                <w:sz w:val="18"/>
                <w:szCs w:val="18"/>
              </w:rPr>
            </w:pPr>
            <w:r>
              <w:rPr>
                <w:sz w:val="18"/>
                <w:szCs w:val="18"/>
              </w:rPr>
              <w:t>0</w:t>
            </w:r>
          </w:p>
        </w:tc>
        <w:tc>
          <w:tcPr>
            <w:tcW w:w="1395" w:type="dxa"/>
            <w:tcBorders>
              <w:left w:val="single" w:sz="4" w:space="0" w:color="auto"/>
            </w:tcBorders>
            <w:vAlign w:val="center"/>
          </w:tcPr>
          <w:p w14:paraId="79A9C767" w14:textId="0F801441" w:rsidR="00AF35BD" w:rsidRPr="001D23D2" w:rsidRDefault="00857E18" w:rsidP="00857E18">
            <w:pPr>
              <w:spacing w:before="60" w:after="60"/>
              <w:jc w:val="center"/>
              <w:rPr>
                <w:sz w:val="18"/>
                <w:szCs w:val="18"/>
              </w:rPr>
            </w:pPr>
            <w:r>
              <w:rPr>
                <w:sz w:val="18"/>
                <w:szCs w:val="18"/>
              </w:rPr>
              <w:t>18</w:t>
            </w:r>
            <w:r w:rsidR="00AF35BD">
              <w:rPr>
                <w:sz w:val="18"/>
                <w:szCs w:val="18"/>
              </w:rPr>
              <w:t>/06/19</w:t>
            </w:r>
          </w:p>
        </w:tc>
        <w:tc>
          <w:tcPr>
            <w:tcW w:w="1850" w:type="dxa"/>
            <w:gridSpan w:val="2"/>
            <w:vAlign w:val="center"/>
          </w:tcPr>
          <w:p w14:paraId="0153BC0C" w14:textId="77777777" w:rsidR="00AF35BD" w:rsidRPr="001D23D2" w:rsidRDefault="00AF35BD" w:rsidP="00846780">
            <w:pPr>
              <w:spacing w:before="60" w:after="60"/>
              <w:jc w:val="center"/>
              <w:rPr>
                <w:sz w:val="18"/>
                <w:szCs w:val="18"/>
              </w:rPr>
            </w:pPr>
            <w:r>
              <w:rPr>
                <w:sz w:val="18"/>
                <w:szCs w:val="18"/>
              </w:rPr>
              <w:t>Initial Draft</w:t>
            </w:r>
          </w:p>
        </w:tc>
        <w:tc>
          <w:tcPr>
            <w:tcW w:w="1593" w:type="dxa"/>
            <w:vAlign w:val="center"/>
          </w:tcPr>
          <w:p w14:paraId="0461D521" w14:textId="77777777" w:rsidR="00AF35BD" w:rsidRPr="001D23D2" w:rsidRDefault="00AF35BD" w:rsidP="00846780">
            <w:pPr>
              <w:spacing w:before="60" w:after="60"/>
              <w:ind w:left="87"/>
              <w:jc w:val="center"/>
              <w:rPr>
                <w:sz w:val="18"/>
                <w:szCs w:val="18"/>
              </w:rPr>
            </w:pPr>
            <w:r>
              <w:rPr>
                <w:sz w:val="18"/>
                <w:szCs w:val="18"/>
              </w:rPr>
              <w:t>DA</w:t>
            </w:r>
          </w:p>
        </w:tc>
        <w:tc>
          <w:tcPr>
            <w:tcW w:w="1038" w:type="dxa"/>
            <w:vAlign w:val="center"/>
          </w:tcPr>
          <w:p w14:paraId="383A1261" w14:textId="77777777" w:rsidR="00AF35BD" w:rsidRPr="001D23D2" w:rsidRDefault="00AF35BD" w:rsidP="00846780">
            <w:pPr>
              <w:spacing w:before="60" w:after="60"/>
              <w:ind w:left="54"/>
              <w:jc w:val="center"/>
              <w:rPr>
                <w:sz w:val="18"/>
                <w:szCs w:val="18"/>
              </w:rPr>
            </w:pPr>
          </w:p>
        </w:tc>
        <w:tc>
          <w:tcPr>
            <w:tcW w:w="1106" w:type="dxa"/>
            <w:vAlign w:val="center"/>
          </w:tcPr>
          <w:p w14:paraId="26DFEBD7" w14:textId="77777777" w:rsidR="00AF35BD" w:rsidRPr="001D23D2" w:rsidRDefault="00AF35BD" w:rsidP="00846780">
            <w:pPr>
              <w:spacing w:before="60" w:after="60"/>
              <w:ind w:left="44"/>
              <w:jc w:val="center"/>
              <w:rPr>
                <w:sz w:val="18"/>
                <w:szCs w:val="18"/>
              </w:rPr>
            </w:pPr>
          </w:p>
        </w:tc>
        <w:tc>
          <w:tcPr>
            <w:tcW w:w="1894" w:type="dxa"/>
            <w:vAlign w:val="center"/>
          </w:tcPr>
          <w:p w14:paraId="77674E1A" w14:textId="77777777" w:rsidR="00AF35BD" w:rsidRPr="00623459" w:rsidRDefault="00AF35BD" w:rsidP="00846780">
            <w:pPr>
              <w:spacing w:before="60" w:after="60"/>
              <w:ind w:left="57"/>
              <w:jc w:val="center"/>
              <w:rPr>
                <w:sz w:val="18"/>
                <w:szCs w:val="18"/>
              </w:rPr>
            </w:pPr>
          </w:p>
        </w:tc>
      </w:tr>
      <w:tr w:rsidR="00AF35BD" w:rsidRPr="00C93E9A" w14:paraId="08084612" w14:textId="77777777" w:rsidTr="00846780">
        <w:trPr>
          <w:cantSplit/>
          <w:trHeight w:val="255"/>
          <w:jc w:val="center"/>
        </w:trPr>
        <w:tc>
          <w:tcPr>
            <w:tcW w:w="580" w:type="dxa"/>
            <w:tcBorders>
              <w:right w:val="single" w:sz="4" w:space="0" w:color="auto"/>
            </w:tcBorders>
            <w:vAlign w:val="center"/>
          </w:tcPr>
          <w:p w14:paraId="25168DCD" w14:textId="77777777" w:rsidR="00AF35BD" w:rsidRPr="00623459" w:rsidRDefault="00AF35BD" w:rsidP="00846780">
            <w:pPr>
              <w:spacing w:before="60" w:after="60"/>
              <w:jc w:val="center"/>
              <w:rPr>
                <w:sz w:val="18"/>
                <w:szCs w:val="18"/>
              </w:rPr>
            </w:pPr>
          </w:p>
        </w:tc>
        <w:tc>
          <w:tcPr>
            <w:tcW w:w="1395" w:type="dxa"/>
            <w:tcBorders>
              <w:left w:val="single" w:sz="4" w:space="0" w:color="auto"/>
            </w:tcBorders>
            <w:vAlign w:val="center"/>
          </w:tcPr>
          <w:p w14:paraId="6D4AB1E9" w14:textId="77777777" w:rsidR="00AF35BD" w:rsidRPr="00623459" w:rsidRDefault="00AF35BD" w:rsidP="00846780">
            <w:pPr>
              <w:spacing w:before="60" w:after="60"/>
              <w:jc w:val="center"/>
              <w:rPr>
                <w:sz w:val="18"/>
                <w:szCs w:val="18"/>
              </w:rPr>
            </w:pPr>
          </w:p>
        </w:tc>
        <w:tc>
          <w:tcPr>
            <w:tcW w:w="1850" w:type="dxa"/>
            <w:gridSpan w:val="2"/>
            <w:vAlign w:val="center"/>
          </w:tcPr>
          <w:p w14:paraId="65981993" w14:textId="77777777" w:rsidR="00AF35BD" w:rsidRPr="00623459" w:rsidRDefault="00AF35BD" w:rsidP="00846780">
            <w:pPr>
              <w:spacing w:before="60" w:after="60"/>
              <w:jc w:val="center"/>
              <w:rPr>
                <w:sz w:val="18"/>
                <w:szCs w:val="18"/>
              </w:rPr>
            </w:pPr>
          </w:p>
        </w:tc>
        <w:tc>
          <w:tcPr>
            <w:tcW w:w="1593" w:type="dxa"/>
            <w:vAlign w:val="center"/>
          </w:tcPr>
          <w:p w14:paraId="171A05D4" w14:textId="77777777" w:rsidR="00AF35BD" w:rsidRPr="00623459" w:rsidRDefault="00AF35BD" w:rsidP="00846780">
            <w:pPr>
              <w:spacing w:before="60" w:after="60"/>
              <w:ind w:left="87"/>
              <w:jc w:val="center"/>
              <w:rPr>
                <w:sz w:val="18"/>
                <w:szCs w:val="18"/>
              </w:rPr>
            </w:pPr>
          </w:p>
        </w:tc>
        <w:tc>
          <w:tcPr>
            <w:tcW w:w="1038" w:type="dxa"/>
            <w:vAlign w:val="center"/>
          </w:tcPr>
          <w:p w14:paraId="5C5E5F4B" w14:textId="77777777" w:rsidR="00AF35BD" w:rsidRPr="00623459" w:rsidRDefault="00AF35BD" w:rsidP="00846780">
            <w:pPr>
              <w:spacing w:before="60" w:after="60"/>
              <w:ind w:left="54"/>
              <w:jc w:val="center"/>
              <w:rPr>
                <w:sz w:val="18"/>
                <w:szCs w:val="18"/>
              </w:rPr>
            </w:pPr>
          </w:p>
        </w:tc>
        <w:tc>
          <w:tcPr>
            <w:tcW w:w="1106" w:type="dxa"/>
            <w:vAlign w:val="center"/>
          </w:tcPr>
          <w:p w14:paraId="2B7AB2D0" w14:textId="77777777" w:rsidR="00AF35BD" w:rsidRPr="00623459" w:rsidRDefault="00AF35BD" w:rsidP="00846780">
            <w:pPr>
              <w:spacing w:before="60" w:after="60"/>
              <w:ind w:left="44"/>
              <w:jc w:val="center"/>
              <w:rPr>
                <w:sz w:val="18"/>
                <w:szCs w:val="18"/>
              </w:rPr>
            </w:pPr>
          </w:p>
        </w:tc>
        <w:tc>
          <w:tcPr>
            <w:tcW w:w="1894" w:type="dxa"/>
            <w:vAlign w:val="center"/>
          </w:tcPr>
          <w:p w14:paraId="1D2AA4FD" w14:textId="77777777" w:rsidR="00AF35BD" w:rsidRPr="00623459" w:rsidRDefault="00AF35BD" w:rsidP="00846780">
            <w:pPr>
              <w:spacing w:before="60" w:after="60"/>
              <w:ind w:left="57"/>
              <w:jc w:val="center"/>
              <w:rPr>
                <w:sz w:val="18"/>
                <w:szCs w:val="18"/>
              </w:rPr>
            </w:pPr>
          </w:p>
        </w:tc>
      </w:tr>
      <w:tr w:rsidR="00AF35BD" w:rsidRPr="00C93E9A" w14:paraId="51701BE3" w14:textId="77777777" w:rsidTr="00846780">
        <w:trPr>
          <w:cantSplit/>
          <w:trHeight w:val="255"/>
          <w:jc w:val="center"/>
        </w:trPr>
        <w:tc>
          <w:tcPr>
            <w:tcW w:w="580" w:type="dxa"/>
            <w:tcBorders>
              <w:right w:val="single" w:sz="4" w:space="0" w:color="auto"/>
            </w:tcBorders>
            <w:vAlign w:val="center"/>
          </w:tcPr>
          <w:p w14:paraId="4074D0F1" w14:textId="77777777" w:rsidR="00AF35BD" w:rsidRDefault="00AF35BD" w:rsidP="00846780">
            <w:pPr>
              <w:spacing w:before="60" w:after="60"/>
              <w:jc w:val="center"/>
              <w:rPr>
                <w:sz w:val="18"/>
                <w:szCs w:val="18"/>
              </w:rPr>
            </w:pPr>
          </w:p>
        </w:tc>
        <w:tc>
          <w:tcPr>
            <w:tcW w:w="1395" w:type="dxa"/>
            <w:tcBorders>
              <w:left w:val="single" w:sz="4" w:space="0" w:color="auto"/>
            </w:tcBorders>
            <w:vAlign w:val="center"/>
          </w:tcPr>
          <w:p w14:paraId="5C80946D" w14:textId="77777777" w:rsidR="00AF35BD" w:rsidRDefault="00AF35BD" w:rsidP="00846780">
            <w:pPr>
              <w:spacing w:before="60" w:after="60"/>
              <w:jc w:val="center"/>
              <w:rPr>
                <w:sz w:val="18"/>
                <w:szCs w:val="18"/>
              </w:rPr>
            </w:pPr>
          </w:p>
        </w:tc>
        <w:tc>
          <w:tcPr>
            <w:tcW w:w="1850" w:type="dxa"/>
            <w:gridSpan w:val="2"/>
            <w:vAlign w:val="center"/>
          </w:tcPr>
          <w:p w14:paraId="4BCB027F" w14:textId="77777777" w:rsidR="00AF35BD" w:rsidRDefault="00AF35BD" w:rsidP="00846780">
            <w:pPr>
              <w:spacing w:before="60" w:after="60"/>
              <w:jc w:val="center"/>
              <w:rPr>
                <w:sz w:val="18"/>
                <w:szCs w:val="18"/>
              </w:rPr>
            </w:pPr>
          </w:p>
        </w:tc>
        <w:tc>
          <w:tcPr>
            <w:tcW w:w="1593" w:type="dxa"/>
            <w:vAlign w:val="center"/>
          </w:tcPr>
          <w:p w14:paraId="462BA75D" w14:textId="77777777" w:rsidR="00AF35BD" w:rsidRPr="00623459" w:rsidRDefault="00AF35BD" w:rsidP="00846780">
            <w:pPr>
              <w:spacing w:before="60" w:after="60"/>
              <w:ind w:left="87"/>
              <w:jc w:val="center"/>
              <w:rPr>
                <w:sz w:val="18"/>
                <w:szCs w:val="18"/>
              </w:rPr>
            </w:pPr>
          </w:p>
        </w:tc>
        <w:tc>
          <w:tcPr>
            <w:tcW w:w="1038" w:type="dxa"/>
            <w:vAlign w:val="center"/>
          </w:tcPr>
          <w:p w14:paraId="13C083D6" w14:textId="77777777" w:rsidR="00AF35BD" w:rsidRDefault="00AF35BD" w:rsidP="00846780">
            <w:pPr>
              <w:spacing w:before="60" w:after="60"/>
              <w:ind w:left="54"/>
              <w:jc w:val="center"/>
              <w:rPr>
                <w:sz w:val="18"/>
                <w:szCs w:val="18"/>
              </w:rPr>
            </w:pPr>
          </w:p>
        </w:tc>
        <w:tc>
          <w:tcPr>
            <w:tcW w:w="1106" w:type="dxa"/>
            <w:vAlign w:val="center"/>
          </w:tcPr>
          <w:p w14:paraId="5B8E758B" w14:textId="77777777" w:rsidR="00AF35BD" w:rsidRPr="00623459" w:rsidRDefault="00AF35BD" w:rsidP="00846780">
            <w:pPr>
              <w:spacing w:before="60" w:after="60"/>
              <w:ind w:left="44"/>
              <w:jc w:val="center"/>
              <w:rPr>
                <w:sz w:val="18"/>
                <w:szCs w:val="18"/>
              </w:rPr>
            </w:pPr>
          </w:p>
        </w:tc>
        <w:tc>
          <w:tcPr>
            <w:tcW w:w="1894" w:type="dxa"/>
            <w:vAlign w:val="center"/>
          </w:tcPr>
          <w:p w14:paraId="0340364F" w14:textId="77777777" w:rsidR="00AF35BD" w:rsidRPr="00623459" w:rsidRDefault="00AF35BD" w:rsidP="00846780">
            <w:pPr>
              <w:spacing w:before="60" w:after="60"/>
              <w:ind w:left="57"/>
              <w:jc w:val="center"/>
              <w:rPr>
                <w:sz w:val="18"/>
                <w:szCs w:val="18"/>
              </w:rPr>
            </w:pPr>
          </w:p>
        </w:tc>
      </w:tr>
      <w:tr w:rsidR="00AF35BD" w:rsidRPr="00C93E9A" w14:paraId="307E394D" w14:textId="77777777" w:rsidTr="00846780">
        <w:trPr>
          <w:cantSplit/>
          <w:trHeight w:val="255"/>
          <w:jc w:val="center"/>
        </w:trPr>
        <w:tc>
          <w:tcPr>
            <w:tcW w:w="580" w:type="dxa"/>
            <w:tcBorders>
              <w:right w:val="single" w:sz="4" w:space="0" w:color="auto"/>
            </w:tcBorders>
            <w:vAlign w:val="center"/>
          </w:tcPr>
          <w:p w14:paraId="54EAAD3B" w14:textId="77777777" w:rsidR="00AF35BD" w:rsidRDefault="00AF35BD" w:rsidP="00846780">
            <w:pPr>
              <w:spacing w:before="60" w:after="60"/>
              <w:jc w:val="center"/>
              <w:rPr>
                <w:sz w:val="18"/>
                <w:szCs w:val="18"/>
              </w:rPr>
            </w:pPr>
          </w:p>
        </w:tc>
        <w:tc>
          <w:tcPr>
            <w:tcW w:w="1395" w:type="dxa"/>
            <w:tcBorders>
              <w:left w:val="single" w:sz="4" w:space="0" w:color="auto"/>
            </w:tcBorders>
            <w:vAlign w:val="center"/>
          </w:tcPr>
          <w:p w14:paraId="4A049224" w14:textId="77777777" w:rsidR="00AF35BD" w:rsidRDefault="00AF35BD" w:rsidP="00846780">
            <w:pPr>
              <w:spacing w:before="60" w:after="60"/>
              <w:jc w:val="center"/>
              <w:rPr>
                <w:sz w:val="18"/>
                <w:szCs w:val="18"/>
              </w:rPr>
            </w:pPr>
          </w:p>
        </w:tc>
        <w:tc>
          <w:tcPr>
            <w:tcW w:w="1850" w:type="dxa"/>
            <w:gridSpan w:val="2"/>
            <w:vAlign w:val="center"/>
          </w:tcPr>
          <w:p w14:paraId="2C674386" w14:textId="77777777" w:rsidR="00AF35BD" w:rsidRDefault="00AF35BD" w:rsidP="00846780">
            <w:pPr>
              <w:spacing w:before="60" w:after="60"/>
              <w:jc w:val="center"/>
              <w:rPr>
                <w:sz w:val="18"/>
                <w:szCs w:val="18"/>
              </w:rPr>
            </w:pPr>
          </w:p>
        </w:tc>
        <w:tc>
          <w:tcPr>
            <w:tcW w:w="1593" w:type="dxa"/>
            <w:vAlign w:val="center"/>
          </w:tcPr>
          <w:p w14:paraId="10963A5C" w14:textId="77777777" w:rsidR="00AF35BD" w:rsidRDefault="00AF35BD" w:rsidP="00846780">
            <w:pPr>
              <w:spacing w:before="60" w:after="60"/>
              <w:ind w:left="87"/>
              <w:jc w:val="center"/>
              <w:rPr>
                <w:sz w:val="18"/>
                <w:szCs w:val="18"/>
              </w:rPr>
            </w:pPr>
          </w:p>
        </w:tc>
        <w:tc>
          <w:tcPr>
            <w:tcW w:w="1038" w:type="dxa"/>
            <w:vAlign w:val="center"/>
          </w:tcPr>
          <w:p w14:paraId="6E498441" w14:textId="77777777" w:rsidR="00AF35BD" w:rsidRDefault="00AF35BD" w:rsidP="00846780">
            <w:pPr>
              <w:spacing w:before="60" w:after="60"/>
              <w:ind w:left="54"/>
              <w:jc w:val="center"/>
              <w:rPr>
                <w:sz w:val="18"/>
                <w:szCs w:val="18"/>
              </w:rPr>
            </w:pPr>
          </w:p>
        </w:tc>
        <w:tc>
          <w:tcPr>
            <w:tcW w:w="1106" w:type="dxa"/>
            <w:vAlign w:val="center"/>
          </w:tcPr>
          <w:p w14:paraId="1563B198" w14:textId="77777777" w:rsidR="00AF35BD" w:rsidRPr="00623459" w:rsidRDefault="00AF35BD" w:rsidP="00846780">
            <w:pPr>
              <w:spacing w:before="60" w:after="60"/>
              <w:ind w:left="44"/>
              <w:jc w:val="center"/>
              <w:rPr>
                <w:sz w:val="18"/>
                <w:szCs w:val="18"/>
              </w:rPr>
            </w:pPr>
          </w:p>
        </w:tc>
        <w:tc>
          <w:tcPr>
            <w:tcW w:w="1894" w:type="dxa"/>
            <w:vAlign w:val="center"/>
          </w:tcPr>
          <w:p w14:paraId="2CA0D0FD" w14:textId="77777777" w:rsidR="00AF35BD" w:rsidRPr="00623459" w:rsidRDefault="00AF35BD" w:rsidP="00846780">
            <w:pPr>
              <w:spacing w:before="60" w:after="60"/>
              <w:ind w:left="57"/>
              <w:jc w:val="center"/>
              <w:rPr>
                <w:sz w:val="18"/>
                <w:szCs w:val="18"/>
              </w:rPr>
            </w:pPr>
          </w:p>
        </w:tc>
      </w:tr>
      <w:tr w:rsidR="00AF35BD" w:rsidRPr="00C93E9A" w14:paraId="506731F2" w14:textId="77777777" w:rsidTr="00846780">
        <w:trPr>
          <w:cantSplit/>
          <w:trHeight w:val="255"/>
          <w:jc w:val="center"/>
        </w:trPr>
        <w:tc>
          <w:tcPr>
            <w:tcW w:w="580" w:type="dxa"/>
            <w:tcBorders>
              <w:right w:val="single" w:sz="4" w:space="0" w:color="auto"/>
            </w:tcBorders>
            <w:vAlign w:val="center"/>
          </w:tcPr>
          <w:p w14:paraId="75690C12" w14:textId="77777777" w:rsidR="00AF35BD" w:rsidRDefault="00AF35BD" w:rsidP="00846780">
            <w:pPr>
              <w:spacing w:before="60" w:after="60"/>
              <w:jc w:val="center"/>
              <w:rPr>
                <w:sz w:val="18"/>
                <w:szCs w:val="18"/>
              </w:rPr>
            </w:pPr>
          </w:p>
        </w:tc>
        <w:tc>
          <w:tcPr>
            <w:tcW w:w="1395" w:type="dxa"/>
            <w:tcBorders>
              <w:left w:val="single" w:sz="4" w:space="0" w:color="auto"/>
            </w:tcBorders>
            <w:vAlign w:val="center"/>
          </w:tcPr>
          <w:p w14:paraId="5A010B38" w14:textId="77777777" w:rsidR="00AF35BD" w:rsidRDefault="00AF35BD" w:rsidP="00846780">
            <w:pPr>
              <w:spacing w:before="60" w:after="60"/>
              <w:jc w:val="center"/>
              <w:rPr>
                <w:sz w:val="18"/>
                <w:szCs w:val="18"/>
              </w:rPr>
            </w:pPr>
          </w:p>
        </w:tc>
        <w:tc>
          <w:tcPr>
            <w:tcW w:w="1850" w:type="dxa"/>
            <w:gridSpan w:val="2"/>
            <w:vAlign w:val="center"/>
          </w:tcPr>
          <w:p w14:paraId="751846C5" w14:textId="77777777" w:rsidR="00AF35BD" w:rsidRDefault="00AF35BD" w:rsidP="00846780">
            <w:pPr>
              <w:spacing w:before="60" w:after="60"/>
              <w:jc w:val="center"/>
              <w:rPr>
                <w:sz w:val="18"/>
                <w:szCs w:val="18"/>
              </w:rPr>
            </w:pPr>
          </w:p>
        </w:tc>
        <w:tc>
          <w:tcPr>
            <w:tcW w:w="1593" w:type="dxa"/>
            <w:vAlign w:val="center"/>
          </w:tcPr>
          <w:p w14:paraId="3F5FF531" w14:textId="77777777" w:rsidR="00AF35BD" w:rsidRDefault="00AF35BD" w:rsidP="00846780">
            <w:pPr>
              <w:spacing w:before="60" w:after="60"/>
              <w:ind w:left="87"/>
              <w:jc w:val="center"/>
              <w:rPr>
                <w:sz w:val="18"/>
                <w:szCs w:val="18"/>
              </w:rPr>
            </w:pPr>
          </w:p>
        </w:tc>
        <w:tc>
          <w:tcPr>
            <w:tcW w:w="1038" w:type="dxa"/>
            <w:vAlign w:val="center"/>
          </w:tcPr>
          <w:p w14:paraId="5F4E3BEE" w14:textId="77777777" w:rsidR="00AF35BD" w:rsidRDefault="00AF35BD" w:rsidP="00846780">
            <w:pPr>
              <w:spacing w:before="60" w:after="60"/>
              <w:ind w:left="54"/>
              <w:jc w:val="center"/>
              <w:rPr>
                <w:sz w:val="18"/>
                <w:szCs w:val="18"/>
              </w:rPr>
            </w:pPr>
          </w:p>
        </w:tc>
        <w:tc>
          <w:tcPr>
            <w:tcW w:w="1106" w:type="dxa"/>
            <w:vAlign w:val="center"/>
          </w:tcPr>
          <w:p w14:paraId="575DFF36" w14:textId="77777777" w:rsidR="00AF35BD" w:rsidRPr="00623459" w:rsidRDefault="00AF35BD" w:rsidP="00846780">
            <w:pPr>
              <w:spacing w:before="60" w:after="60"/>
              <w:ind w:left="44"/>
              <w:jc w:val="center"/>
              <w:rPr>
                <w:sz w:val="18"/>
                <w:szCs w:val="18"/>
              </w:rPr>
            </w:pPr>
          </w:p>
        </w:tc>
        <w:tc>
          <w:tcPr>
            <w:tcW w:w="1894" w:type="dxa"/>
            <w:vAlign w:val="center"/>
          </w:tcPr>
          <w:p w14:paraId="4C14AE15" w14:textId="77777777" w:rsidR="00AF35BD" w:rsidRPr="00623459" w:rsidRDefault="00AF35BD" w:rsidP="00846780">
            <w:pPr>
              <w:spacing w:before="60" w:after="60"/>
              <w:ind w:left="57"/>
              <w:jc w:val="center"/>
              <w:rPr>
                <w:sz w:val="18"/>
                <w:szCs w:val="18"/>
              </w:rPr>
            </w:pPr>
          </w:p>
        </w:tc>
      </w:tr>
      <w:tr w:rsidR="00AF35BD" w:rsidRPr="00C93E9A" w14:paraId="39BA7465" w14:textId="77777777" w:rsidTr="00846780">
        <w:trPr>
          <w:cantSplit/>
          <w:trHeight w:val="255"/>
          <w:jc w:val="center"/>
        </w:trPr>
        <w:tc>
          <w:tcPr>
            <w:tcW w:w="580" w:type="dxa"/>
            <w:tcBorders>
              <w:right w:val="single" w:sz="4" w:space="0" w:color="auto"/>
            </w:tcBorders>
            <w:vAlign w:val="center"/>
          </w:tcPr>
          <w:p w14:paraId="21F3F459" w14:textId="77777777" w:rsidR="00AF35BD" w:rsidRDefault="00AF35BD" w:rsidP="00846780">
            <w:pPr>
              <w:spacing w:before="60" w:after="60"/>
              <w:jc w:val="center"/>
              <w:rPr>
                <w:sz w:val="18"/>
                <w:szCs w:val="18"/>
              </w:rPr>
            </w:pPr>
          </w:p>
        </w:tc>
        <w:tc>
          <w:tcPr>
            <w:tcW w:w="1395" w:type="dxa"/>
            <w:tcBorders>
              <w:left w:val="single" w:sz="4" w:space="0" w:color="auto"/>
            </w:tcBorders>
            <w:vAlign w:val="center"/>
          </w:tcPr>
          <w:p w14:paraId="26F1AF3C" w14:textId="77777777" w:rsidR="00AF35BD" w:rsidRDefault="00AF35BD" w:rsidP="00846780">
            <w:pPr>
              <w:spacing w:before="60" w:after="60"/>
              <w:jc w:val="center"/>
              <w:rPr>
                <w:sz w:val="18"/>
                <w:szCs w:val="18"/>
              </w:rPr>
            </w:pPr>
          </w:p>
        </w:tc>
        <w:tc>
          <w:tcPr>
            <w:tcW w:w="1850" w:type="dxa"/>
            <w:gridSpan w:val="2"/>
            <w:vAlign w:val="center"/>
          </w:tcPr>
          <w:p w14:paraId="20DC4D6B" w14:textId="77777777" w:rsidR="00AF35BD" w:rsidRDefault="00AF35BD" w:rsidP="00846780">
            <w:pPr>
              <w:spacing w:before="60" w:after="60"/>
              <w:jc w:val="center"/>
              <w:rPr>
                <w:sz w:val="18"/>
                <w:szCs w:val="18"/>
              </w:rPr>
            </w:pPr>
          </w:p>
        </w:tc>
        <w:tc>
          <w:tcPr>
            <w:tcW w:w="1593" w:type="dxa"/>
            <w:vAlign w:val="center"/>
          </w:tcPr>
          <w:p w14:paraId="3E92B353" w14:textId="77777777" w:rsidR="00AF35BD" w:rsidRDefault="00AF35BD" w:rsidP="00846780">
            <w:pPr>
              <w:spacing w:before="60" w:after="60"/>
              <w:ind w:left="87"/>
              <w:jc w:val="center"/>
              <w:rPr>
                <w:sz w:val="18"/>
                <w:szCs w:val="18"/>
              </w:rPr>
            </w:pPr>
          </w:p>
        </w:tc>
        <w:tc>
          <w:tcPr>
            <w:tcW w:w="1038" w:type="dxa"/>
            <w:vAlign w:val="center"/>
          </w:tcPr>
          <w:p w14:paraId="1CF64C80" w14:textId="77777777" w:rsidR="00AF35BD" w:rsidRDefault="00AF35BD" w:rsidP="00846780">
            <w:pPr>
              <w:spacing w:before="60" w:after="60"/>
              <w:ind w:left="54"/>
              <w:jc w:val="center"/>
              <w:rPr>
                <w:sz w:val="18"/>
                <w:szCs w:val="18"/>
              </w:rPr>
            </w:pPr>
          </w:p>
        </w:tc>
        <w:tc>
          <w:tcPr>
            <w:tcW w:w="1106" w:type="dxa"/>
            <w:vAlign w:val="center"/>
          </w:tcPr>
          <w:p w14:paraId="2FE179B5" w14:textId="77777777" w:rsidR="00AF35BD" w:rsidRPr="00623459" w:rsidRDefault="00AF35BD" w:rsidP="00846780">
            <w:pPr>
              <w:spacing w:before="60" w:after="60"/>
              <w:ind w:left="44"/>
              <w:jc w:val="center"/>
              <w:rPr>
                <w:sz w:val="18"/>
                <w:szCs w:val="18"/>
              </w:rPr>
            </w:pPr>
          </w:p>
        </w:tc>
        <w:tc>
          <w:tcPr>
            <w:tcW w:w="1894" w:type="dxa"/>
            <w:vAlign w:val="center"/>
          </w:tcPr>
          <w:p w14:paraId="7806D8DC" w14:textId="77777777" w:rsidR="00AF35BD" w:rsidRPr="00623459" w:rsidRDefault="00AF35BD" w:rsidP="00846780">
            <w:pPr>
              <w:spacing w:before="60" w:after="60"/>
              <w:ind w:left="57"/>
              <w:jc w:val="center"/>
              <w:rPr>
                <w:sz w:val="18"/>
                <w:szCs w:val="18"/>
              </w:rPr>
            </w:pPr>
          </w:p>
        </w:tc>
      </w:tr>
    </w:tbl>
    <w:p w14:paraId="207A711B" w14:textId="50A82690" w:rsidR="00AF35BD" w:rsidRDefault="00AF35BD" w:rsidP="00AF35BD"/>
    <w:p w14:paraId="5DDC4A3D" w14:textId="77777777" w:rsidR="00AF35BD" w:rsidRDefault="00AF35BD">
      <w:pPr>
        <w:spacing w:after="160" w:line="259" w:lineRule="auto"/>
        <w:jc w:val="left"/>
      </w:pPr>
      <w:r>
        <w:br w:type="page"/>
      </w:r>
    </w:p>
    <w:p w14:paraId="70F3B65E" w14:textId="3D907D79" w:rsidR="00AF35BD" w:rsidRDefault="00A54348" w:rsidP="00272126">
      <w:pPr>
        <w:pStyle w:val="Heading1"/>
      </w:pPr>
      <w:r>
        <w:lastRenderedPageBreak/>
        <w:t>Purpose</w:t>
      </w:r>
    </w:p>
    <w:p w14:paraId="4082E771" w14:textId="78F5B6F5" w:rsidR="00AF35BD" w:rsidRDefault="00AF35BD" w:rsidP="00AF35BD"/>
    <w:p w14:paraId="22A4EB49" w14:textId="251667D3" w:rsidR="00272126" w:rsidRPr="00272126" w:rsidRDefault="00AF35BD" w:rsidP="007628C6">
      <w:r w:rsidRPr="00AF35BD">
        <w:t>The purpose of this document is to introduce a specification to assist in sourcing a suitable portable generator for small load applications</w:t>
      </w:r>
      <w:r w:rsidR="00671C09">
        <w:t xml:space="preserve"> on Dawson mine site</w:t>
      </w:r>
      <w:r w:rsidRPr="00AF35BD">
        <w:t xml:space="preserve">. </w:t>
      </w:r>
      <w:r w:rsidR="00671C09">
        <w:t xml:space="preserve">This specification guide is limited to generators up to 25kW in </w:t>
      </w:r>
      <w:r w:rsidR="00F15360">
        <w:t xml:space="preserve">supply </w:t>
      </w:r>
      <w:r w:rsidR="00671C09">
        <w:t xml:space="preserve">load and is intended for use in stand alone application. </w:t>
      </w:r>
      <w:r w:rsidR="000B51CA">
        <w:t>The generator set may be portable, semi-portable, transportable or mobile.</w:t>
      </w:r>
    </w:p>
    <w:p w14:paraId="52BA8B2E" w14:textId="3DEF5889" w:rsidR="00A54348" w:rsidRDefault="00A54348" w:rsidP="00A349FD">
      <w:pPr>
        <w:pStyle w:val="Heading1"/>
      </w:pPr>
      <w:r>
        <w:t>Relevant Laws</w:t>
      </w:r>
      <w:r w:rsidR="005A54A1">
        <w:t xml:space="preserve">, </w:t>
      </w:r>
      <w:r>
        <w:t>Regulations</w:t>
      </w:r>
      <w:r w:rsidR="005A54A1">
        <w:t xml:space="preserve"> and Standards</w:t>
      </w:r>
    </w:p>
    <w:p w14:paraId="6CB6CFF8" w14:textId="309273DD" w:rsidR="00A54348" w:rsidRDefault="00A54348" w:rsidP="00A54348">
      <w:pPr>
        <w:tabs>
          <w:tab w:val="clear" w:pos="720"/>
          <w:tab w:val="num" w:pos="1360"/>
        </w:tabs>
        <w:spacing w:after="140" w:line="240" w:lineRule="auto"/>
        <w:jc w:val="left"/>
        <w:rPr>
          <w:rFonts w:ascii="Arial" w:hAnsi="Arial" w:cs="Arial"/>
          <w:sz w:val="20"/>
          <w:szCs w:val="20"/>
        </w:rPr>
      </w:pPr>
    </w:p>
    <w:p w14:paraId="61184F04" w14:textId="65092B3A" w:rsidR="00A54348" w:rsidRPr="00B22EE2" w:rsidRDefault="005A54A1" w:rsidP="00B22EE2">
      <w:r>
        <w:t>In addition to set requirements within this specification the following statutory rules and regulations, and Australian Standards must be followed including but not limited to:</w:t>
      </w:r>
    </w:p>
    <w:p w14:paraId="203CE4EA" w14:textId="7E9AE4CA" w:rsidR="00A54348" w:rsidRPr="009D7DC0" w:rsidRDefault="00A54348" w:rsidP="007818C3">
      <w:pPr>
        <w:pStyle w:val="ListParagraph"/>
        <w:numPr>
          <w:ilvl w:val="0"/>
          <w:numId w:val="22"/>
        </w:numPr>
        <w:tabs>
          <w:tab w:val="clear" w:pos="680"/>
          <w:tab w:val="num" w:pos="1080"/>
        </w:tabs>
        <w:ind w:left="1170" w:hanging="500"/>
        <w:jc w:val="left"/>
      </w:pPr>
      <w:r w:rsidRPr="009D7DC0">
        <w:t>Coal Mining Safety and Health Act 1999</w:t>
      </w:r>
    </w:p>
    <w:p w14:paraId="5B26B7A7" w14:textId="086EAE1C" w:rsidR="00A54348" w:rsidRPr="009D7DC0" w:rsidRDefault="00A54348" w:rsidP="007818C3">
      <w:pPr>
        <w:pStyle w:val="ListParagraph"/>
        <w:numPr>
          <w:ilvl w:val="0"/>
          <w:numId w:val="22"/>
        </w:numPr>
        <w:tabs>
          <w:tab w:val="clear" w:pos="680"/>
          <w:tab w:val="num" w:pos="1080"/>
        </w:tabs>
        <w:ind w:left="1170" w:hanging="500"/>
        <w:jc w:val="left"/>
      </w:pPr>
      <w:r w:rsidRPr="009D7DC0">
        <w:t>Coal Mining Safety and Health Regulation 20</w:t>
      </w:r>
      <w:r w:rsidR="00846780">
        <w:t xml:space="preserve">17 </w:t>
      </w:r>
    </w:p>
    <w:p w14:paraId="48A5E4C0" w14:textId="14FE6E77" w:rsidR="00A54348" w:rsidRPr="009D7DC0" w:rsidRDefault="00A54348" w:rsidP="007818C3">
      <w:pPr>
        <w:pStyle w:val="ListParagraph"/>
        <w:numPr>
          <w:ilvl w:val="0"/>
          <w:numId w:val="22"/>
        </w:numPr>
        <w:tabs>
          <w:tab w:val="clear" w:pos="680"/>
          <w:tab w:val="num" w:pos="1080"/>
        </w:tabs>
        <w:ind w:left="1170" w:hanging="500"/>
        <w:jc w:val="left"/>
        <w:rPr>
          <w:lang w:eastAsia="zh-CN" w:bidi="th-TH"/>
        </w:rPr>
      </w:pPr>
      <w:r w:rsidRPr="009D7DC0">
        <w:rPr>
          <w:lang w:eastAsia="zh-CN" w:bidi="th-TH"/>
        </w:rPr>
        <w:t xml:space="preserve">Work Health and Safety </w:t>
      </w:r>
      <w:r w:rsidRPr="009D7DC0">
        <w:t>Regulation</w:t>
      </w:r>
      <w:r w:rsidRPr="009D7DC0">
        <w:rPr>
          <w:lang w:eastAsia="zh-CN" w:bidi="th-TH"/>
        </w:rPr>
        <w:t xml:space="preserve"> 2011 </w:t>
      </w:r>
    </w:p>
    <w:p w14:paraId="1F456A73" w14:textId="232153E5" w:rsidR="00A54348" w:rsidRDefault="00846780" w:rsidP="007818C3">
      <w:pPr>
        <w:pStyle w:val="ListParagraph"/>
        <w:numPr>
          <w:ilvl w:val="0"/>
          <w:numId w:val="22"/>
        </w:numPr>
        <w:tabs>
          <w:tab w:val="clear" w:pos="680"/>
          <w:tab w:val="num" w:pos="1080"/>
        </w:tabs>
        <w:ind w:left="1170" w:hanging="500"/>
        <w:jc w:val="left"/>
        <w:rPr>
          <w:lang w:eastAsia="zh-CN" w:bidi="th-TH"/>
        </w:rPr>
      </w:pPr>
      <w:r>
        <w:rPr>
          <w:lang w:eastAsia="zh-CN" w:bidi="th-TH"/>
        </w:rPr>
        <w:t>Electrical</w:t>
      </w:r>
      <w:r w:rsidR="00A54348" w:rsidRPr="009D7DC0">
        <w:rPr>
          <w:lang w:eastAsia="zh-CN" w:bidi="th-TH"/>
        </w:rPr>
        <w:t xml:space="preserve"> </w:t>
      </w:r>
      <w:r>
        <w:rPr>
          <w:lang w:eastAsia="zh-CN" w:bidi="th-TH"/>
        </w:rPr>
        <w:t xml:space="preserve">Safety </w:t>
      </w:r>
      <w:r w:rsidR="00A54348" w:rsidRPr="009D7DC0">
        <w:rPr>
          <w:lang w:eastAsia="zh-CN" w:bidi="th-TH"/>
        </w:rPr>
        <w:t xml:space="preserve">Act </w:t>
      </w:r>
      <w:r>
        <w:rPr>
          <w:lang w:eastAsia="zh-CN" w:bidi="th-TH"/>
        </w:rPr>
        <w:t xml:space="preserve">2002 </w:t>
      </w:r>
    </w:p>
    <w:p w14:paraId="509C3DCD" w14:textId="5DAD7A38" w:rsidR="007818C3" w:rsidRPr="009D7DC0" w:rsidRDefault="007818C3" w:rsidP="007818C3">
      <w:pPr>
        <w:pStyle w:val="ListParagraph"/>
        <w:numPr>
          <w:ilvl w:val="0"/>
          <w:numId w:val="22"/>
        </w:numPr>
        <w:tabs>
          <w:tab w:val="clear" w:pos="680"/>
          <w:tab w:val="num" w:pos="1080"/>
        </w:tabs>
        <w:ind w:left="1170" w:hanging="500"/>
        <w:jc w:val="left"/>
        <w:rPr>
          <w:lang w:eastAsia="zh-CN" w:bidi="th-TH"/>
        </w:rPr>
      </w:pPr>
      <w:r w:rsidRPr="007818C3">
        <w:rPr>
          <w:lang w:eastAsia="zh-CN" w:bidi="th-TH"/>
        </w:rPr>
        <w:t>Electrical Safety Regulations 2013</w:t>
      </w:r>
    </w:p>
    <w:p w14:paraId="50FB8D7D" w14:textId="41851556" w:rsidR="005A54A1" w:rsidRPr="005A54A1" w:rsidRDefault="005A54A1" w:rsidP="007818C3">
      <w:pPr>
        <w:pStyle w:val="ListParagraph"/>
        <w:numPr>
          <w:ilvl w:val="0"/>
          <w:numId w:val="22"/>
        </w:numPr>
        <w:tabs>
          <w:tab w:val="clear" w:pos="680"/>
          <w:tab w:val="num" w:pos="1080"/>
        </w:tabs>
        <w:ind w:left="1170" w:hanging="500"/>
        <w:jc w:val="left"/>
        <w:rPr>
          <w:lang w:eastAsia="zh-CN" w:bidi="th-TH"/>
        </w:rPr>
      </w:pPr>
      <w:r w:rsidRPr="005A54A1">
        <w:rPr>
          <w:lang w:eastAsia="zh-CN" w:bidi="th-TH"/>
        </w:rPr>
        <w:t>AS</w:t>
      </w:r>
      <w:r w:rsidR="00CD342A">
        <w:rPr>
          <w:lang w:eastAsia="zh-CN" w:bidi="th-TH"/>
        </w:rPr>
        <w:t xml:space="preserve"> </w:t>
      </w:r>
      <w:r w:rsidRPr="005A54A1">
        <w:rPr>
          <w:lang w:eastAsia="zh-CN" w:bidi="th-TH"/>
        </w:rPr>
        <w:t>3000:2018 Wiring Rules</w:t>
      </w:r>
    </w:p>
    <w:p w14:paraId="26C96D98" w14:textId="7C47316F" w:rsidR="005A54A1" w:rsidRPr="005A54A1" w:rsidRDefault="005A54A1" w:rsidP="007818C3">
      <w:pPr>
        <w:pStyle w:val="ListParagraph"/>
        <w:numPr>
          <w:ilvl w:val="0"/>
          <w:numId w:val="22"/>
        </w:numPr>
        <w:tabs>
          <w:tab w:val="clear" w:pos="680"/>
          <w:tab w:val="num" w:pos="1080"/>
        </w:tabs>
        <w:ind w:left="1170" w:hanging="500"/>
        <w:jc w:val="left"/>
        <w:rPr>
          <w:lang w:eastAsia="zh-CN" w:bidi="th-TH"/>
        </w:rPr>
      </w:pPr>
      <w:r w:rsidRPr="005A54A1">
        <w:rPr>
          <w:lang w:eastAsia="zh-CN" w:bidi="th-TH"/>
        </w:rPr>
        <w:t>AS</w:t>
      </w:r>
      <w:r w:rsidR="00CD342A">
        <w:rPr>
          <w:lang w:eastAsia="zh-CN" w:bidi="th-TH"/>
        </w:rPr>
        <w:t xml:space="preserve"> </w:t>
      </w:r>
      <w:r w:rsidRPr="005A54A1">
        <w:rPr>
          <w:lang w:eastAsia="zh-CN" w:bidi="th-TH"/>
        </w:rPr>
        <w:t>3008:2017: Electrical Installations – Selection of Cables</w:t>
      </w:r>
    </w:p>
    <w:p w14:paraId="67C09C7E" w14:textId="20CCB071" w:rsidR="005A54A1" w:rsidRPr="005A54A1" w:rsidRDefault="005A54A1" w:rsidP="007818C3">
      <w:pPr>
        <w:pStyle w:val="ListParagraph"/>
        <w:numPr>
          <w:ilvl w:val="0"/>
          <w:numId w:val="22"/>
        </w:numPr>
        <w:tabs>
          <w:tab w:val="clear" w:pos="680"/>
          <w:tab w:val="num" w:pos="1080"/>
        </w:tabs>
        <w:ind w:left="1170" w:hanging="500"/>
        <w:jc w:val="left"/>
        <w:rPr>
          <w:lang w:eastAsia="zh-CN" w:bidi="th-TH"/>
        </w:rPr>
      </w:pPr>
      <w:r w:rsidRPr="005A54A1">
        <w:rPr>
          <w:lang w:eastAsia="zh-CN" w:bidi="th-TH"/>
        </w:rPr>
        <w:t>AS</w:t>
      </w:r>
      <w:r w:rsidR="00CD342A">
        <w:rPr>
          <w:lang w:eastAsia="zh-CN" w:bidi="th-TH"/>
        </w:rPr>
        <w:t xml:space="preserve"> </w:t>
      </w:r>
      <w:r w:rsidRPr="005A54A1">
        <w:rPr>
          <w:lang w:eastAsia="zh-CN" w:bidi="th-TH"/>
        </w:rPr>
        <w:t>3010:2014: Electrical Installations – Generating Sets</w:t>
      </w:r>
    </w:p>
    <w:p w14:paraId="014403A7" w14:textId="14F07972" w:rsidR="005A54A1" w:rsidRDefault="005A54A1" w:rsidP="007818C3">
      <w:pPr>
        <w:pStyle w:val="ListParagraph"/>
        <w:numPr>
          <w:ilvl w:val="0"/>
          <w:numId w:val="22"/>
        </w:numPr>
        <w:tabs>
          <w:tab w:val="clear" w:pos="680"/>
          <w:tab w:val="num" w:pos="1080"/>
        </w:tabs>
        <w:ind w:left="1170" w:hanging="500"/>
        <w:jc w:val="left"/>
        <w:rPr>
          <w:lang w:eastAsia="zh-CN" w:bidi="th-TH"/>
        </w:rPr>
      </w:pPr>
      <w:r w:rsidRPr="005A54A1">
        <w:rPr>
          <w:lang w:eastAsia="zh-CN" w:bidi="th-TH"/>
        </w:rPr>
        <w:t>AS</w:t>
      </w:r>
      <w:r w:rsidR="00CD342A">
        <w:rPr>
          <w:lang w:eastAsia="zh-CN" w:bidi="th-TH"/>
        </w:rPr>
        <w:t xml:space="preserve"> </w:t>
      </w:r>
      <w:r w:rsidRPr="005A54A1">
        <w:rPr>
          <w:lang w:eastAsia="zh-CN" w:bidi="th-TH"/>
        </w:rPr>
        <w:t>3007:</w:t>
      </w:r>
      <w:r w:rsidR="00CD342A">
        <w:rPr>
          <w:lang w:eastAsia="zh-CN" w:bidi="th-TH"/>
        </w:rPr>
        <w:t>2013</w:t>
      </w:r>
      <w:r w:rsidRPr="005A54A1">
        <w:rPr>
          <w:lang w:eastAsia="zh-CN" w:bidi="th-TH"/>
        </w:rPr>
        <w:t xml:space="preserve"> Electrical equipment in mines and quarries – Surface Installations and associated processing plant</w:t>
      </w:r>
    </w:p>
    <w:p w14:paraId="3B8BFFF5" w14:textId="6C03E635" w:rsidR="00846780" w:rsidRDefault="00846780" w:rsidP="007818C3">
      <w:pPr>
        <w:pStyle w:val="ListParagraph"/>
        <w:numPr>
          <w:ilvl w:val="0"/>
          <w:numId w:val="22"/>
        </w:numPr>
        <w:tabs>
          <w:tab w:val="clear" w:pos="680"/>
          <w:tab w:val="num" w:pos="1080"/>
        </w:tabs>
        <w:ind w:left="1170" w:hanging="500"/>
        <w:jc w:val="left"/>
        <w:rPr>
          <w:lang w:eastAsia="zh-CN" w:bidi="th-TH"/>
        </w:rPr>
      </w:pPr>
      <w:r>
        <w:rPr>
          <w:lang w:eastAsia="zh-CN" w:bidi="th-TH"/>
        </w:rPr>
        <w:t>AS 2081:2011 Electrical protection devices for mines and quarries</w:t>
      </w:r>
    </w:p>
    <w:p w14:paraId="1B1C6D1E" w14:textId="6CA36C59" w:rsidR="005A54A1" w:rsidRDefault="005A54A1" w:rsidP="005A54A1">
      <w:pPr>
        <w:jc w:val="left"/>
        <w:rPr>
          <w:lang w:eastAsia="zh-CN" w:bidi="th-TH"/>
        </w:rPr>
      </w:pPr>
      <w:r>
        <w:rPr>
          <w:lang w:eastAsia="zh-CN" w:bidi="th-TH"/>
        </w:rPr>
        <w:t xml:space="preserve">In the event where this specification contradicts with a law, regulation or standard’s condition or recommendation, then the relevant law or standard shall be complied with. </w:t>
      </w:r>
    </w:p>
    <w:p w14:paraId="54807E27" w14:textId="45D92D89" w:rsidR="007818C3" w:rsidRDefault="007818C3" w:rsidP="005A54A1">
      <w:pPr>
        <w:jc w:val="left"/>
        <w:rPr>
          <w:lang w:eastAsia="zh-CN" w:bidi="th-TH"/>
        </w:rPr>
      </w:pPr>
      <w:r>
        <w:rPr>
          <w:lang w:eastAsia="zh-CN" w:bidi="th-TH"/>
        </w:rPr>
        <w:t>All installation, testing and commissioning of electrical equipment must be carried out site authorized personnel. The following procedures and standards apply:</w:t>
      </w:r>
    </w:p>
    <w:p w14:paraId="0231283C" w14:textId="77777777" w:rsidR="007818C3" w:rsidRDefault="007818C3" w:rsidP="007818C3">
      <w:pPr>
        <w:pStyle w:val="ListParagraph"/>
        <w:numPr>
          <w:ilvl w:val="0"/>
          <w:numId w:val="23"/>
        </w:numPr>
        <w:tabs>
          <w:tab w:val="clear" w:pos="1400"/>
        </w:tabs>
        <w:ind w:left="1170" w:hanging="450"/>
        <w:jc w:val="left"/>
        <w:rPr>
          <w:lang w:eastAsia="zh-CN" w:bidi="th-TH"/>
        </w:rPr>
      </w:pPr>
      <w:r>
        <w:t>PHMP 0015 Control of Energy</w:t>
      </w:r>
    </w:p>
    <w:p w14:paraId="0C35A05C" w14:textId="77777777" w:rsidR="007818C3" w:rsidRDefault="007818C3" w:rsidP="007818C3">
      <w:pPr>
        <w:pStyle w:val="ListParagraph"/>
        <w:numPr>
          <w:ilvl w:val="0"/>
          <w:numId w:val="23"/>
        </w:numPr>
        <w:tabs>
          <w:tab w:val="clear" w:pos="1400"/>
        </w:tabs>
        <w:ind w:left="1170" w:hanging="450"/>
        <w:jc w:val="left"/>
        <w:rPr>
          <w:lang w:eastAsia="zh-CN" w:bidi="th-TH"/>
        </w:rPr>
      </w:pPr>
      <w:r>
        <w:t>SOP 0001 Access to Exposed Electrical Conductors,</w:t>
      </w:r>
    </w:p>
    <w:p w14:paraId="29F131AD" w14:textId="722E55AB" w:rsidR="007818C3" w:rsidRDefault="007818C3" w:rsidP="007818C3">
      <w:pPr>
        <w:pStyle w:val="ListParagraph"/>
        <w:numPr>
          <w:ilvl w:val="0"/>
          <w:numId w:val="23"/>
        </w:numPr>
        <w:tabs>
          <w:tab w:val="clear" w:pos="1400"/>
        </w:tabs>
        <w:ind w:left="1170" w:hanging="450"/>
        <w:jc w:val="left"/>
        <w:rPr>
          <w:lang w:eastAsia="zh-CN" w:bidi="th-TH"/>
        </w:rPr>
      </w:pPr>
      <w:r>
        <w:t>SOP 0004 Electrical First Aid and Resuscitation</w:t>
      </w:r>
    </w:p>
    <w:p w14:paraId="2A53824B" w14:textId="380A3FB7" w:rsidR="007818C3" w:rsidRPr="005A54A1" w:rsidRDefault="007818C3" w:rsidP="007818C3">
      <w:pPr>
        <w:pStyle w:val="ListParagraph"/>
        <w:numPr>
          <w:ilvl w:val="0"/>
          <w:numId w:val="23"/>
        </w:numPr>
        <w:tabs>
          <w:tab w:val="clear" w:pos="1400"/>
        </w:tabs>
        <w:ind w:left="1170" w:hanging="450"/>
        <w:jc w:val="left"/>
        <w:rPr>
          <w:lang w:eastAsia="zh-CN" w:bidi="th-TH"/>
        </w:rPr>
      </w:pPr>
      <w:r w:rsidRPr="007818C3">
        <w:rPr>
          <w:lang w:eastAsia="zh-CN" w:bidi="th-TH"/>
        </w:rPr>
        <w:t xml:space="preserve">SOP 0034 Live Testing of Equipment </w:t>
      </w:r>
    </w:p>
    <w:p w14:paraId="04E73E1D" w14:textId="62E8CF2C" w:rsidR="00846780" w:rsidRDefault="00B058B3">
      <w:pPr>
        <w:pStyle w:val="Heading1"/>
      </w:pPr>
      <w:r>
        <w:t>Definitions</w:t>
      </w:r>
    </w:p>
    <w:p w14:paraId="1A27EBF3" w14:textId="48A8B651" w:rsidR="00846780" w:rsidRDefault="00846780" w:rsidP="00846780"/>
    <w:p w14:paraId="0B671533" w14:textId="5C8FB998" w:rsidR="00B058B3" w:rsidRDefault="00B058B3" w:rsidP="00846780">
      <w:r>
        <w:t>In addition to all defined terms in MOP 0123 Electrical Definitions the following applies:</w:t>
      </w:r>
    </w:p>
    <w:p w14:paraId="2444C73B" w14:textId="77777777" w:rsidR="00B058B3" w:rsidRPr="00846780" w:rsidRDefault="00B058B3" w:rsidP="0084678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005"/>
      </w:tblGrid>
      <w:tr w:rsidR="00846780" w14:paraId="634A9270" w14:textId="77777777" w:rsidTr="00B058B3">
        <w:tc>
          <w:tcPr>
            <w:tcW w:w="1705" w:type="dxa"/>
          </w:tcPr>
          <w:p w14:paraId="04CEA3CE" w14:textId="5FB45CBE" w:rsidR="00846780" w:rsidRDefault="00846780" w:rsidP="00846780">
            <w:r>
              <w:t>RCD</w:t>
            </w:r>
          </w:p>
        </w:tc>
        <w:tc>
          <w:tcPr>
            <w:tcW w:w="8005" w:type="dxa"/>
          </w:tcPr>
          <w:p w14:paraId="066ECA11" w14:textId="528E886E" w:rsidR="00846780" w:rsidRDefault="00846780" w:rsidP="00846780">
            <w:r>
              <w:t>AS 3190 approved Residual Current Device</w:t>
            </w:r>
          </w:p>
        </w:tc>
      </w:tr>
      <w:tr w:rsidR="00846780" w14:paraId="080E42B4" w14:textId="77777777" w:rsidTr="00B058B3">
        <w:tc>
          <w:tcPr>
            <w:tcW w:w="1705" w:type="dxa"/>
          </w:tcPr>
          <w:p w14:paraId="3EE0CF98" w14:textId="0B5A282E" w:rsidR="00846780" w:rsidRDefault="00846780" w:rsidP="00846780">
            <w:r>
              <w:t>CB</w:t>
            </w:r>
          </w:p>
        </w:tc>
        <w:tc>
          <w:tcPr>
            <w:tcW w:w="8005" w:type="dxa"/>
          </w:tcPr>
          <w:p w14:paraId="5188CC31" w14:textId="0B49C8F6" w:rsidR="00846780" w:rsidRDefault="00B058B3" w:rsidP="00846780">
            <w:r>
              <w:t>Circuit breaker</w:t>
            </w:r>
          </w:p>
        </w:tc>
      </w:tr>
      <w:tr w:rsidR="00846780" w14:paraId="77C32232" w14:textId="77777777" w:rsidTr="00B058B3">
        <w:tc>
          <w:tcPr>
            <w:tcW w:w="1705" w:type="dxa"/>
          </w:tcPr>
          <w:p w14:paraId="2621B122" w14:textId="5DF823AA" w:rsidR="00846780" w:rsidRDefault="00B058B3" w:rsidP="00846780">
            <w:r>
              <w:t>LV</w:t>
            </w:r>
          </w:p>
        </w:tc>
        <w:tc>
          <w:tcPr>
            <w:tcW w:w="8005" w:type="dxa"/>
          </w:tcPr>
          <w:p w14:paraId="7595329A" w14:textId="43920DD6" w:rsidR="00846780" w:rsidRDefault="00B058B3" w:rsidP="00846780">
            <w:r>
              <w:t>Refers to electrical circuitry or system that is higher than ELV but lower than 1200VAC</w:t>
            </w:r>
          </w:p>
        </w:tc>
      </w:tr>
      <w:tr w:rsidR="00846780" w14:paraId="453BFA5D" w14:textId="77777777" w:rsidTr="00B058B3">
        <w:tc>
          <w:tcPr>
            <w:tcW w:w="1705" w:type="dxa"/>
          </w:tcPr>
          <w:p w14:paraId="1403D9DE" w14:textId="68CFE2BE" w:rsidR="00846780" w:rsidRDefault="00B058B3" w:rsidP="00846780">
            <w:r>
              <w:lastRenderedPageBreak/>
              <w:t>ELV</w:t>
            </w:r>
          </w:p>
        </w:tc>
        <w:tc>
          <w:tcPr>
            <w:tcW w:w="8005" w:type="dxa"/>
          </w:tcPr>
          <w:p w14:paraId="72C9DD4E" w14:textId="0AC17653" w:rsidR="00846780" w:rsidRDefault="00B058B3" w:rsidP="00846780">
            <w:r>
              <w:t>Refers to electrical circuitry o</w:t>
            </w:r>
            <w:r w:rsidR="007818C3">
              <w:t>r</w:t>
            </w:r>
            <w:r>
              <w:t xml:space="preserve"> system that the voltage does not exceed 5</w:t>
            </w:r>
            <w:r w:rsidR="007818C3">
              <w:t>0</w:t>
            </w:r>
            <w:r>
              <w:t>VAC or 120VDC</w:t>
            </w:r>
          </w:p>
        </w:tc>
      </w:tr>
      <w:tr w:rsidR="00125D30" w14:paraId="0A8ECD07" w14:textId="77777777" w:rsidTr="00B058B3">
        <w:tc>
          <w:tcPr>
            <w:tcW w:w="1705" w:type="dxa"/>
          </w:tcPr>
          <w:p w14:paraId="1E061F2C" w14:textId="700A9AB7" w:rsidR="00125D30" w:rsidRDefault="00125D30" w:rsidP="00846780">
            <w:r>
              <w:t>ELD</w:t>
            </w:r>
          </w:p>
        </w:tc>
        <w:tc>
          <w:tcPr>
            <w:tcW w:w="8005" w:type="dxa"/>
          </w:tcPr>
          <w:p w14:paraId="6BE6A682" w14:textId="51773A63" w:rsidR="00125D30" w:rsidRDefault="00125D30" w:rsidP="00846780">
            <w:r>
              <w:t>Earth Leakage Device</w:t>
            </w:r>
          </w:p>
        </w:tc>
      </w:tr>
      <w:tr w:rsidR="00846780" w14:paraId="30DF314F" w14:textId="77777777" w:rsidTr="00B058B3">
        <w:tc>
          <w:tcPr>
            <w:tcW w:w="1705" w:type="dxa"/>
          </w:tcPr>
          <w:p w14:paraId="29009389" w14:textId="5005D9DF" w:rsidR="00846780" w:rsidRDefault="007818C3" w:rsidP="00846780">
            <w:r>
              <w:t>PHMP</w:t>
            </w:r>
          </w:p>
        </w:tc>
        <w:tc>
          <w:tcPr>
            <w:tcW w:w="8005" w:type="dxa"/>
          </w:tcPr>
          <w:p w14:paraId="1628A8C4" w14:textId="10B3B370" w:rsidR="00846780" w:rsidRDefault="007818C3" w:rsidP="00846780">
            <w:r>
              <w:t>Principle Hazard Management Plan</w:t>
            </w:r>
          </w:p>
        </w:tc>
      </w:tr>
      <w:tr w:rsidR="00846780" w14:paraId="20D14E50" w14:textId="77777777" w:rsidTr="00B058B3">
        <w:tc>
          <w:tcPr>
            <w:tcW w:w="1705" w:type="dxa"/>
          </w:tcPr>
          <w:p w14:paraId="7D736FD3" w14:textId="41B69C4E" w:rsidR="00846780" w:rsidRDefault="007818C3" w:rsidP="00846780">
            <w:r>
              <w:t>SOP</w:t>
            </w:r>
          </w:p>
        </w:tc>
        <w:tc>
          <w:tcPr>
            <w:tcW w:w="8005" w:type="dxa"/>
          </w:tcPr>
          <w:p w14:paraId="5095E078" w14:textId="26B07F9A" w:rsidR="00846780" w:rsidRDefault="007818C3" w:rsidP="00846780">
            <w:r>
              <w:t>Standard Operating Procedure</w:t>
            </w:r>
          </w:p>
        </w:tc>
      </w:tr>
      <w:tr w:rsidR="00846780" w14:paraId="71770215" w14:textId="77777777" w:rsidTr="00B058B3">
        <w:tc>
          <w:tcPr>
            <w:tcW w:w="1705" w:type="dxa"/>
          </w:tcPr>
          <w:p w14:paraId="18B60A10" w14:textId="15B8B1BD" w:rsidR="00846780" w:rsidRDefault="007818C3" w:rsidP="00846780">
            <w:r>
              <w:t>Shall</w:t>
            </w:r>
          </w:p>
        </w:tc>
        <w:tc>
          <w:tcPr>
            <w:tcW w:w="8005" w:type="dxa"/>
          </w:tcPr>
          <w:p w14:paraId="1AACC7BB" w14:textId="372AEDE1" w:rsidR="00846780" w:rsidRDefault="007818C3" w:rsidP="00846780">
            <w:r>
              <w:t>Indicates the statement is mandatory to be complied with</w:t>
            </w:r>
          </w:p>
        </w:tc>
      </w:tr>
      <w:tr w:rsidR="007818C3" w14:paraId="6B8CDBB9" w14:textId="77777777" w:rsidTr="00B058B3">
        <w:tc>
          <w:tcPr>
            <w:tcW w:w="1705" w:type="dxa"/>
          </w:tcPr>
          <w:p w14:paraId="5D4704F1" w14:textId="67589647" w:rsidR="007818C3" w:rsidRDefault="007818C3" w:rsidP="00846780">
            <w:r>
              <w:t>Should</w:t>
            </w:r>
          </w:p>
        </w:tc>
        <w:tc>
          <w:tcPr>
            <w:tcW w:w="8005" w:type="dxa"/>
          </w:tcPr>
          <w:p w14:paraId="089587F1" w14:textId="424FDC04" w:rsidR="007818C3" w:rsidRDefault="007818C3" w:rsidP="00846780">
            <w:r>
              <w:t>Indicates the statement is a recommendation</w:t>
            </w:r>
          </w:p>
        </w:tc>
      </w:tr>
      <w:tr w:rsidR="00980069" w14:paraId="3B84F833" w14:textId="77777777" w:rsidTr="00B058B3">
        <w:tc>
          <w:tcPr>
            <w:tcW w:w="1705" w:type="dxa"/>
          </w:tcPr>
          <w:p w14:paraId="51DCCEF1" w14:textId="2AC0CC3B" w:rsidR="00980069" w:rsidRDefault="00980069" w:rsidP="00846780">
            <w:r>
              <w:t>Owner</w:t>
            </w:r>
          </w:p>
        </w:tc>
        <w:tc>
          <w:tcPr>
            <w:tcW w:w="8005" w:type="dxa"/>
          </w:tcPr>
          <w:p w14:paraId="1EFBC36D" w14:textId="4C772FA2" w:rsidR="00980069" w:rsidRDefault="00980069" w:rsidP="00846780">
            <w:r>
              <w:t>The person who intends to introduce an equipment to site or sources it</w:t>
            </w:r>
          </w:p>
        </w:tc>
      </w:tr>
      <w:tr w:rsidR="00980069" w14:paraId="3BE57815" w14:textId="77777777" w:rsidTr="00B058B3">
        <w:tc>
          <w:tcPr>
            <w:tcW w:w="1705" w:type="dxa"/>
          </w:tcPr>
          <w:p w14:paraId="43A764B6" w14:textId="3AA2DDCF" w:rsidR="00980069" w:rsidRDefault="00980069" w:rsidP="00846780">
            <w:r>
              <w:t>DOL</w:t>
            </w:r>
          </w:p>
        </w:tc>
        <w:tc>
          <w:tcPr>
            <w:tcW w:w="8005" w:type="dxa"/>
          </w:tcPr>
          <w:p w14:paraId="07CF6F17" w14:textId="4FE2F677" w:rsidR="00980069" w:rsidRDefault="00980069" w:rsidP="00846780">
            <w:r>
              <w:t xml:space="preserve">Direct </w:t>
            </w:r>
            <w:proofErr w:type="gramStart"/>
            <w:r>
              <w:t>On</w:t>
            </w:r>
            <w:proofErr w:type="gramEnd"/>
            <w:r>
              <w:t xml:space="preserve"> Line </w:t>
            </w:r>
            <w:r w:rsidR="00DC3BDF">
              <w:t>t</w:t>
            </w:r>
            <w:r>
              <w:t xml:space="preserve">ype of motor starting </w:t>
            </w:r>
          </w:p>
        </w:tc>
      </w:tr>
      <w:tr w:rsidR="00980069" w14:paraId="6BA573FF" w14:textId="77777777" w:rsidTr="00B058B3">
        <w:tc>
          <w:tcPr>
            <w:tcW w:w="1705" w:type="dxa"/>
          </w:tcPr>
          <w:p w14:paraId="36D6468A" w14:textId="273272CA" w:rsidR="00980069" w:rsidRDefault="00980069" w:rsidP="00846780">
            <w:r>
              <w:t>Load/ Load Type</w:t>
            </w:r>
          </w:p>
        </w:tc>
        <w:tc>
          <w:tcPr>
            <w:tcW w:w="8005" w:type="dxa"/>
          </w:tcPr>
          <w:p w14:paraId="555CFEBD" w14:textId="6F9618D0" w:rsidR="00980069" w:rsidRDefault="00980069" w:rsidP="00846780">
            <w:r>
              <w:t>Rated power usage of an electrical equipment and type of</w:t>
            </w:r>
            <w:r w:rsidR="009845B4">
              <w:t xml:space="preserve"> an</w:t>
            </w:r>
            <w:r>
              <w:t xml:space="preserve"> electrical equipment </w:t>
            </w:r>
          </w:p>
        </w:tc>
      </w:tr>
    </w:tbl>
    <w:p w14:paraId="3FB8A106" w14:textId="2F884766" w:rsidR="00846780" w:rsidRPr="00846780" w:rsidRDefault="00846780" w:rsidP="00846780"/>
    <w:p w14:paraId="1CDF8C79" w14:textId="011ADD51" w:rsidR="00A349FD" w:rsidRPr="00A349FD" w:rsidRDefault="00D74D36" w:rsidP="00A349FD">
      <w:pPr>
        <w:pStyle w:val="Heading1"/>
      </w:pPr>
      <w:r>
        <w:t>Pre-requisite to sourcing a generator</w:t>
      </w:r>
    </w:p>
    <w:p w14:paraId="0E63437A" w14:textId="39F84760" w:rsidR="00FB515D" w:rsidRDefault="005A54A1" w:rsidP="007628C6">
      <w:r>
        <w:br/>
      </w:r>
      <w:r w:rsidR="00FB515D">
        <w:t xml:space="preserve">Suitability of any generator </w:t>
      </w:r>
      <w:r w:rsidR="00E066B5">
        <w:t xml:space="preserve">and sizing of it </w:t>
      </w:r>
      <w:r w:rsidR="00FB515D">
        <w:t xml:space="preserve">will primarily depend on its application. </w:t>
      </w:r>
      <w:r w:rsidR="00E066B5">
        <w:t>For instance, h</w:t>
      </w:r>
      <w:r w:rsidR="00FB515D">
        <w:t xml:space="preserve">igh inductive loads </w:t>
      </w:r>
      <w:r w:rsidR="00E066B5">
        <w:t xml:space="preserve">such as DOL Induction motors </w:t>
      </w:r>
      <w:r w:rsidR="00FB515D">
        <w:t>would re</w:t>
      </w:r>
      <w:r w:rsidR="00E066B5">
        <w:t>quire</w:t>
      </w:r>
      <w:r w:rsidR="00FB515D">
        <w:t xml:space="preserve"> </w:t>
      </w:r>
      <w:r w:rsidR="00561ABF">
        <w:t>the supply</w:t>
      </w:r>
      <w:r w:rsidR="00FB515D">
        <w:t xml:space="preserve"> to compensate against adverse effects</w:t>
      </w:r>
      <w:r w:rsidR="00E066B5">
        <w:t xml:space="preserve"> of</w:t>
      </w:r>
      <w:r w:rsidR="00FB515D">
        <w:t xml:space="preserve"> low power factor. </w:t>
      </w:r>
      <w:r w:rsidR="00F15360">
        <w:t xml:space="preserve">The owner of </w:t>
      </w:r>
      <w:r w:rsidR="00980069">
        <w:t xml:space="preserve">the </w:t>
      </w:r>
      <w:r w:rsidR="00F15360">
        <w:t xml:space="preserve">portable generator must define the intended usage of </w:t>
      </w:r>
      <w:r w:rsidR="00FB515D">
        <w:t>the generator, i</w:t>
      </w:r>
      <w:r w:rsidR="00F15360">
        <w:t>ncluding the total anticipated loading and type</w:t>
      </w:r>
      <w:r w:rsidR="00561ABF">
        <w:t xml:space="preserve"> of load</w:t>
      </w:r>
      <w:r w:rsidR="00F15360">
        <w:t>.</w:t>
      </w:r>
      <w:r w:rsidR="00D74D36">
        <w:t xml:space="preserve"> This information must be provided to the </w:t>
      </w:r>
      <w:r w:rsidR="00561ABF">
        <w:t>generator supplier</w:t>
      </w:r>
      <w:r w:rsidR="00D74D36">
        <w:t>. Refer to Appendix XXXX for a complete list of information that should be conveyed to supplier during enquiry and order.</w:t>
      </w:r>
      <w:r w:rsidR="006536FF">
        <w:t xml:space="preserve"> The generator </w:t>
      </w:r>
      <w:r w:rsidR="00980069">
        <w:t xml:space="preserve">sourced </w:t>
      </w:r>
      <w:r w:rsidR="006536FF">
        <w:t xml:space="preserve">must meet or exceed AS 3010:2017 requirements. </w:t>
      </w:r>
    </w:p>
    <w:p w14:paraId="3FD8C8C5" w14:textId="2BD71D69" w:rsidR="005A54A1" w:rsidRDefault="00D74D36" w:rsidP="00980069">
      <w:pPr>
        <w:rPr>
          <w:b/>
        </w:rPr>
      </w:pPr>
      <w:r>
        <w:t>In addition, the</w:t>
      </w:r>
      <w:r w:rsidR="00FB515D">
        <w:t xml:space="preserve"> following </w:t>
      </w:r>
      <w:r w:rsidR="00E066B5">
        <w:t>questionnaire</w:t>
      </w:r>
      <w:r w:rsidR="00FB515D">
        <w:t xml:space="preserve"> should be co</w:t>
      </w:r>
      <w:r w:rsidR="00E066B5">
        <w:t xml:space="preserve">mpleted and relayed </w:t>
      </w:r>
      <w:r w:rsidR="00FB515D">
        <w:t>to</w:t>
      </w:r>
      <w:r w:rsidR="00E066B5">
        <w:t xml:space="preserve"> site</w:t>
      </w:r>
      <w:r w:rsidR="00FB515D">
        <w:t xml:space="preserve"> EEM as</w:t>
      </w:r>
      <w:r w:rsidR="00980069">
        <w:t xml:space="preserve"> a</w:t>
      </w:r>
      <w:r w:rsidR="00FB515D">
        <w:t xml:space="preserve"> pre-requisite</w:t>
      </w:r>
      <w:r w:rsidR="00E066B5">
        <w:t xml:space="preserve"> with</w:t>
      </w:r>
      <w:r w:rsidR="00FB515D">
        <w:t xml:space="preserve"> intention to source a portable small generator.</w:t>
      </w:r>
    </w:p>
    <w:p w14:paraId="00D09B6C" w14:textId="541EE234" w:rsidR="00D74D36" w:rsidRPr="00D74D36" w:rsidRDefault="00D74D36" w:rsidP="00D74D36">
      <w:pPr>
        <w:ind w:left="360" w:right="206"/>
        <w:jc w:val="center"/>
        <w:rPr>
          <w:b/>
        </w:rPr>
      </w:pPr>
      <w:r w:rsidRPr="00D74D36">
        <w:rPr>
          <w:b/>
        </w:rPr>
        <w:t>Intention to source a portable small generator</w:t>
      </w:r>
    </w:p>
    <w:p w14:paraId="0668E2A5" w14:textId="74B01EA0" w:rsidR="009C2DA0" w:rsidRDefault="009C2DA0" w:rsidP="001972EC">
      <w:pPr>
        <w:pStyle w:val="ListParagraph"/>
        <w:numPr>
          <w:ilvl w:val="0"/>
          <w:numId w:val="7"/>
        </w:numPr>
        <w:ind w:right="206"/>
      </w:pPr>
      <w:r>
        <w:t>Owner details</w:t>
      </w:r>
    </w:p>
    <w:p w14:paraId="2393E4AD" w14:textId="67BBDA89" w:rsidR="009C2DA0" w:rsidRDefault="009C2DA0" w:rsidP="009C2DA0">
      <w:pPr>
        <w:pStyle w:val="ListParagraph"/>
        <w:numPr>
          <w:ilvl w:val="1"/>
          <w:numId w:val="7"/>
        </w:numPr>
        <w:ind w:right="206"/>
      </w:pPr>
      <w:r>
        <w:t>Name:</w:t>
      </w:r>
    </w:p>
    <w:p w14:paraId="608C6634" w14:textId="5744068B" w:rsidR="009C2DA0" w:rsidRDefault="009C2DA0" w:rsidP="009C2DA0">
      <w:pPr>
        <w:pStyle w:val="ListParagraph"/>
        <w:numPr>
          <w:ilvl w:val="1"/>
          <w:numId w:val="7"/>
        </w:numPr>
        <w:ind w:right="206"/>
      </w:pPr>
      <w:r>
        <w:t>Department:</w:t>
      </w:r>
    </w:p>
    <w:p w14:paraId="08040041" w14:textId="15862B9E" w:rsidR="009C2DA0" w:rsidRDefault="009C2DA0" w:rsidP="009C2DA0">
      <w:pPr>
        <w:pStyle w:val="ListParagraph"/>
        <w:numPr>
          <w:ilvl w:val="1"/>
          <w:numId w:val="7"/>
        </w:numPr>
        <w:ind w:right="206"/>
      </w:pPr>
      <w:r>
        <w:t>Contractor:</w:t>
      </w:r>
    </w:p>
    <w:p w14:paraId="01E2491A" w14:textId="603FB0A7" w:rsidR="00E066B5" w:rsidRDefault="00E066B5" w:rsidP="001972EC">
      <w:pPr>
        <w:pStyle w:val="ListParagraph"/>
        <w:numPr>
          <w:ilvl w:val="0"/>
          <w:numId w:val="7"/>
        </w:numPr>
        <w:ind w:right="206"/>
      </w:pPr>
      <w:r>
        <w:t xml:space="preserve">What is the intended usage </w:t>
      </w:r>
      <w:r w:rsidR="00126287">
        <w:t>for</w:t>
      </w:r>
      <w:r>
        <w:t xml:space="preserve"> the generator? </w:t>
      </w:r>
      <w:proofErr w:type="spellStart"/>
      <w:r>
        <w:t>i.e</w:t>
      </w:r>
      <w:proofErr w:type="spellEnd"/>
      <w:r>
        <w:t xml:space="preserve"> Emergency back-up, standalone </w:t>
      </w:r>
    </w:p>
    <w:p w14:paraId="144D93EE" w14:textId="12968B37" w:rsidR="00FB515D" w:rsidRDefault="00E066B5" w:rsidP="001972EC">
      <w:pPr>
        <w:pStyle w:val="ListParagraph"/>
        <w:numPr>
          <w:ilvl w:val="0"/>
          <w:numId w:val="7"/>
        </w:numPr>
        <w:ind w:right="206"/>
      </w:pPr>
      <w:r>
        <w:t>What t</w:t>
      </w:r>
      <w:r w:rsidR="00FB515D">
        <w:t>ype</w:t>
      </w:r>
      <w:r>
        <w:t>(s)</w:t>
      </w:r>
      <w:r w:rsidR="00FB515D">
        <w:t xml:space="preserve"> of load</w:t>
      </w:r>
      <w:r>
        <w:t xml:space="preserve"> will be</w:t>
      </w:r>
      <w:r w:rsidR="00FB515D">
        <w:t xml:space="preserve"> </w:t>
      </w:r>
      <w:r>
        <w:t xml:space="preserve">applied? i.e. refrigerators, pumps, fans etc. </w:t>
      </w:r>
    </w:p>
    <w:p w14:paraId="37BDCE09" w14:textId="77777777" w:rsidR="00681795" w:rsidRDefault="00FB515D" w:rsidP="001972EC">
      <w:pPr>
        <w:pStyle w:val="ListParagraph"/>
        <w:numPr>
          <w:ilvl w:val="0"/>
          <w:numId w:val="7"/>
        </w:numPr>
        <w:ind w:right="206"/>
      </w:pPr>
      <w:r>
        <w:t>Intended o</w:t>
      </w:r>
      <w:r w:rsidR="00F7061C">
        <w:t>perating periods?</w:t>
      </w:r>
    </w:p>
    <w:p w14:paraId="15F688DE" w14:textId="77777777" w:rsidR="00681795" w:rsidRDefault="00F7061C" w:rsidP="001972EC">
      <w:pPr>
        <w:pStyle w:val="ListParagraph"/>
        <w:numPr>
          <w:ilvl w:val="1"/>
          <w:numId w:val="7"/>
        </w:numPr>
        <w:ind w:right="206"/>
      </w:pPr>
      <w:r>
        <w:t>Maximum continuous usage</w:t>
      </w:r>
    </w:p>
    <w:p w14:paraId="230189D2" w14:textId="3BA32F60" w:rsidR="00681795" w:rsidRDefault="00F7061C" w:rsidP="001972EC">
      <w:pPr>
        <w:pStyle w:val="ListParagraph"/>
        <w:numPr>
          <w:ilvl w:val="1"/>
          <w:numId w:val="7"/>
        </w:numPr>
        <w:ind w:right="206"/>
      </w:pPr>
      <w:r>
        <w:t>Number of hours per day/wee</w:t>
      </w:r>
      <w:r w:rsidR="00E066B5">
        <w:t>k</w:t>
      </w:r>
    </w:p>
    <w:p w14:paraId="373F64BD" w14:textId="77777777" w:rsidR="00681795" w:rsidRDefault="00E066B5" w:rsidP="001972EC">
      <w:pPr>
        <w:pStyle w:val="ListParagraph"/>
        <w:numPr>
          <w:ilvl w:val="0"/>
          <w:numId w:val="7"/>
        </w:numPr>
        <w:ind w:right="206"/>
      </w:pPr>
      <w:r>
        <w:t>Would the generator feed a switchboard;</w:t>
      </w:r>
    </w:p>
    <w:p w14:paraId="37A68841" w14:textId="77777777" w:rsidR="00681795" w:rsidRDefault="00E066B5" w:rsidP="001972EC">
      <w:pPr>
        <w:pStyle w:val="ListParagraph"/>
        <w:numPr>
          <w:ilvl w:val="1"/>
          <w:numId w:val="7"/>
        </w:numPr>
        <w:ind w:right="206"/>
      </w:pPr>
      <w:r>
        <w:t>With mains supply?</w:t>
      </w:r>
    </w:p>
    <w:p w14:paraId="76E99482" w14:textId="69E2CB6E" w:rsidR="00BC7917" w:rsidRDefault="00E066B5" w:rsidP="001972EC">
      <w:pPr>
        <w:pStyle w:val="ListParagraph"/>
        <w:numPr>
          <w:ilvl w:val="1"/>
          <w:numId w:val="7"/>
        </w:numPr>
        <w:ind w:right="206"/>
      </w:pPr>
      <w:r>
        <w:t>Without mains supply?</w:t>
      </w:r>
    </w:p>
    <w:p w14:paraId="630409D1" w14:textId="77777777" w:rsidR="00681795" w:rsidRDefault="00CF503D" w:rsidP="001972EC">
      <w:pPr>
        <w:pStyle w:val="ListParagraph"/>
        <w:numPr>
          <w:ilvl w:val="0"/>
          <w:numId w:val="7"/>
        </w:numPr>
        <w:ind w:right="206"/>
      </w:pPr>
      <w:r>
        <w:t>How many plugged outlets will be required?</w:t>
      </w:r>
    </w:p>
    <w:p w14:paraId="2F115F3A" w14:textId="77777777" w:rsidR="00681795" w:rsidRDefault="00E066B5" w:rsidP="001972EC">
      <w:pPr>
        <w:pStyle w:val="ListParagraph"/>
        <w:numPr>
          <w:ilvl w:val="0"/>
          <w:numId w:val="7"/>
        </w:numPr>
        <w:ind w:right="206"/>
      </w:pPr>
      <w:r>
        <w:t>What type of fuel will be used?</w:t>
      </w:r>
    </w:p>
    <w:p w14:paraId="29A1F05B" w14:textId="77777777" w:rsidR="00681795" w:rsidRDefault="00E066B5" w:rsidP="001972EC">
      <w:pPr>
        <w:pStyle w:val="ListParagraph"/>
        <w:numPr>
          <w:ilvl w:val="0"/>
          <w:numId w:val="7"/>
        </w:numPr>
        <w:ind w:right="206"/>
      </w:pPr>
      <w:r>
        <w:t>What is the requirement on;</w:t>
      </w:r>
    </w:p>
    <w:p w14:paraId="5D29231F" w14:textId="77777777" w:rsidR="00681795" w:rsidRDefault="00E066B5" w:rsidP="001972EC">
      <w:pPr>
        <w:pStyle w:val="ListParagraph"/>
        <w:numPr>
          <w:ilvl w:val="1"/>
          <w:numId w:val="7"/>
        </w:numPr>
        <w:ind w:right="206"/>
      </w:pPr>
      <w:r>
        <w:t>Voltage?</w:t>
      </w:r>
    </w:p>
    <w:p w14:paraId="2AD42B77" w14:textId="7A605851" w:rsidR="00E066B5" w:rsidRDefault="00E066B5" w:rsidP="001972EC">
      <w:pPr>
        <w:pStyle w:val="ListParagraph"/>
        <w:numPr>
          <w:ilvl w:val="1"/>
          <w:numId w:val="7"/>
        </w:numPr>
        <w:ind w:right="206"/>
      </w:pPr>
      <w:r>
        <w:t>Phases</w:t>
      </w:r>
      <w:r w:rsidR="00681795">
        <w:t>?</w:t>
      </w:r>
    </w:p>
    <w:p w14:paraId="2204DAD6" w14:textId="54C17D12" w:rsidR="00681795" w:rsidRDefault="00E066B5" w:rsidP="001972EC">
      <w:pPr>
        <w:pStyle w:val="ListParagraph"/>
        <w:numPr>
          <w:ilvl w:val="0"/>
          <w:numId w:val="7"/>
        </w:numPr>
        <w:ind w:right="206"/>
      </w:pPr>
      <w:r>
        <w:lastRenderedPageBreak/>
        <w:t>Where would the generator be stationed and operated at</w:t>
      </w:r>
      <w:r w:rsidR="00BF4EF7">
        <w:t>?</w:t>
      </w:r>
    </w:p>
    <w:p w14:paraId="1DE7FA07" w14:textId="525318FA" w:rsidR="00BF4EF7" w:rsidRDefault="00BF4EF7" w:rsidP="00BF4EF7">
      <w:pPr>
        <w:pStyle w:val="ListParagraph"/>
        <w:numPr>
          <w:ilvl w:val="1"/>
          <w:numId w:val="7"/>
        </w:numPr>
        <w:ind w:right="206"/>
      </w:pPr>
      <w:r>
        <w:t>Outdoor/ Indoor?</w:t>
      </w:r>
    </w:p>
    <w:p w14:paraId="78D96990" w14:textId="50AE46A4" w:rsidR="007572AB" w:rsidRDefault="00BF4EF7" w:rsidP="009C2DA0">
      <w:pPr>
        <w:pStyle w:val="ListParagraph"/>
        <w:numPr>
          <w:ilvl w:val="1"/>
          <w:numId w:val="7"/>
        </w:numPr>
        <w:ind w:right="206"/>
      </w:pPr>
      <w:r>
        <w:t>Provide details</w:t>
      </w:r>
    </w:p>
    <w:p w14:paraId="08E7E0FD" w14:textId="48D8D63F" w:rsidR="00E066B5" w:rsidRDefault="00D74D36" w:rsidP="001972EC">
      <w:pPr>
        <w:pStyle w:val="ListParagraph"/>
        <w:numPr>
          <w:ilvl w:val="0"/>
          <w:numId w:val="7"/>
        </w:numPr>
        <w:ind w:right="206"/>
      </w:pPr>
      <w:r>
        <w:t xml:space="preserve">Has </w:t>
      </w:r>
      <w:r w:rsidR="00126287">
        <w:t xml:space="preserve">the </w:t>
      </w:r>
      <w:r>
        <w:t xml:space="preserve">datasheet for the generator obtained? Provide a copy. </w:t>
      </w:r>
    </w:p>
    <w:p w14:paraId="41A01277" w14:textId="106A7CBA" w:rsidR="009C2DA0" w:rsidRDefault="009C2DA0" w:rsidP="001972EC">
      <w:pPr>
        <w:pStyle w:val="ListParagraph"/>
        <w:numPr>
          <w:ilvl w:val="0"/>
          <w:numId w:val="7"/>
        </w:numPr>
        <w:ind w:right="206"/>
      </w:pPr>
      <w:r>
        <w:t>Has the owner revised ‘Small portable generator specification’ and understanding its requirements fully?</w:t>
      </w:r>
    </w:p>
    <w:p w14:paraId="09A21B61" w14:textId="77777777" w:rsidR="006D2FE4" w:rsidRDefault="006D2FE4" w:rsidP="006D2FE4">
      <w:pPr>
        <w:ind w:right="206"/>
      </w:pPr>
    </w:p>
    <w:p w14:paraId="5E215E83" w14:textId="2A2FB81C" w:rsidR="00F15360" w:rsidRDefault="0068363C" w:rsidP="00F15360">
      <w:pPr>
        <w:ind w:left="360" w:right="206"/>
      </w:pPr>
      <w:r>
        <w:t xml:space="preserve">The EEM will review this information and provide any recommendations that may be of </w:t>
      </w:r>
      <w:r w:rsidR="006D2FE4">
        <w:t>relevance.</w:t>
      </w:r>
    </w:p>
    <w:p w14:paraId="4882C231" w14:textId="149F2E3A" w:rsidR="00CB69FA" w:rsidRDefault="00D74D36" w:rsidP="00CB69FA">
      <w:pPr>
        <w:pStyle w:val="Heading1"/>
      </w:pPr>
      <w:r>
        <w:t>Introduction to site</w:t>
      </w:r>
    </w:p>
    <w:p w14:paraId="5B7F22BF" w14:textId="1701B9FC" w:rsidR="00DD78D5" w:rsidRPr="00DD78D5" w:rsidRDefault="00980069" w:rsidP="00DD78D5">
      <w:pPr>
        <w:tabs>
          <w:tab w:val="clear" w:pos="720"/>
          <w:tab w:val="left" w:pos="540"/>
        </w:tabs>
      </w:pPr>
      <w:r>
        <w:br/>
      </w:r>
      <w:r w:rsidR="009D0CD7">
        <w:t xml:space="preserve">The introduction to site </w:t>
      </w:r>
      <w:r w:rsidR="006D2FE4">
        <w:t xml:space="preserve">process specified here would encompass a strategized method for Purchasing/Sourcing, Installation and commissioning of a portable small generator (&lt;25kW). </w:t>
      </w:r>
      <w:r w:rsidR="00CB69FA">
        <w:t xml:space="preserve"> The process is summarized as checklist form in Appendix XXX.</w:t>
      </w:r>
      <w:r w:rsidR="00126287">
        <w:t xml:space="preserve"> Following successful installation and testing, the EEM will review </w:t>
      </w:r>
      <w:r w:rsidR="00DA5245">
        <w:t xml:space="preserve">completed </w:t>
      </w:r>
      <w:r w:rsidR="00126287">
        <w:t xml:space="preserve">documentation, and upon satisfaction </w:t>
      </w:r>
      <w:r w:rsidR="00E6722F">
        <w:t xml:space="preserve">of meeting site standards </w:t>
      </w:r>
      <w:r w:rsidR="00126287">
        <w:t xml:space="preserve">will provide Authority to Energize. </w:t>
      </w:r>
    </w:p>
    <w:p w14:paraId="763EF553" w14:textId="254130C5" w:rsidR="006D2FE4" w:rsidRDefault="006D2FE4" w:rsidP="006D2FE4">
      <w:pPr>
        <w:pStyle w:val="Heading2"/>
      </w:pPr>
      <w:r>
        <w:t>Purchase/Source of a portable small generator</w:t>
      </w:r>
    </w:p>
    <w:p w14:paraId="50F8AA77" w14:textId="5504661A" w:rsidR="006D2FE4" w:rsidRDefault="00980069" w:rsidP="00CB69FA">
      <w:r>
        <w:br/>
      </w:r>
      <w:r w:rsidR="006D2FE4">
        <w:t>After Pre-approval to source a generator has been obtained by EEM</w:t>
      </w:r>
      <w:r w:rsidR="00B22EE2">
        <w:t xml:space="preserve">, </w:t>
      </w:r>
      <w:r w:rsidR="00846780">
        <w:t>the</w:t>
      </w:r>
      <w:r w:rsidR="006D2FE4">
        <w:t xml:space="preserve"> owner may source a generator from a suitable supplier provided the generator model, type</w:t>
      </w:r>
      <w:r w:rsidR="00CB69FA">
        <w:t>,</w:t>
      </w:r>
      <w:r w:rsidR="006D2FE4">
        <w:t xml:space="preserve"> and design meet</w:t>
      </w:r>
      <w:r w:rsidR="00B22EE2">
        <w:t xml:space="preserve">s </w:t>
      </w:r>
      <w:r w:rsidR="006D2FE4" w:rsidRPr="00B22EE2">
        <w:t>relevant standards and regulations, particularly AS</w:t>
      </w:r>
      <w:r w:rsidR="00CD342A" w:rsidRPr="00B22EE2">
        <w:t xml:space="preserve"> </w:t>
      </w:r>
      <w:r w:rsidR="006D2FE4" w:rsidRPr="00B22EE2">
        <w:t>3010:2017</w:t>
      </w:r>
      <w:r w:rsidR="00CD342A" w:rsidRPr="00B22EE2">
        <w:t xml:space="preserve"> and AS 3100:2017</w:t>
      </w:r>
      <w:r w:rsidR="006D2FE4" w:rsidRPr="00B22EE2">
        <w:t xml:space="preserve">. </w:t>
      </w:r>
      <w:r w:rsidR="006D2FE4">
        <w:t>The</w:t>
      </w:r>
      <w:r w:rsidR="006D2FE4" w:rsidRPr="006D2FE4">
        <w:t xml:space="preserve"> onus </w:t>
      </w:r>
      <w:r w:rsidR="006D2FE4">
        <w:t>is on</w:t>
      </w:r>
      <w:r w:rsidR="006D2FE4" w:rsidRPr="006D2FE4">
        <w:t xml:space="preserve"> the owner to ensure sourced generator </w:t>
      </w:r>
      <w:r w:rsidR="006D2FE4">
        <w:t>will meet</w:t>
      </w:r>
      <w:r w:rsidR="006D2FE4" w:rsidRPr="006D2FE4">
        <w:t xml:space="preserve"> </w:t>
      </w:r>
      <w:r w:rsidR="006D2FE4">
        <w:t xml:space="preserve">site and regulatory requirements. </w:t>
      </w:r>
      <w:r w:rsidR="00CD342A">
        <w:t xml:space="preserve">It is recommended the owner reviews rest of this specification </w:t>
      </w:r>
      <w:r w:rsidR="00E6722F">
        <w:t xml:space="preserve">prior to purchase </w:t>
      </w:r>
      <w:r w:rsidR="00CD342A">
        <w:t xml:space="preserve">and </w:t>
      </w:r>
      <w:r w:rsidR="00E6722F">
        <w:t>gain a comprehensive understanding of</w:t>
      </w:r>
      <w:r w:rsidR="00CD342A">
        <w:t xml:space="preserve"> installation, protection and safety requirements of the generator. </w:t>
      </w:r>
    </w:p>
    <w:p w14:paraId="5B50423A" w14:textId="5435030B" w:rsidR="00CB69FA" w:rsidRDefault="00CB69FA" w:rsidP="00CB69FA">
      <w:pPr>
        <w:pStyle w:val="Heading2"/>
      </w:pPr>
      <w:r>
        <w:t xml:space="preserve">Installation </w:t>
      </w:r>
      <w:r w:rsidR="00CD342A">
        <w:t xml:space="preserve">and Commissioning </w:t>
      </w:r>
      <w:r>
        <w:t>on site</w:t>
      </w:r>
    </w:p>
    <w:p w14:paraId="4C522211" w14:textId="1C003B3D" w:rsidR="00CB69FA" w:rsidRDefault="00980069" w:rsidP="00CB69FA">
      <w:pPr>
        <w:tabs>
          <w:tab w:val="clear" w:pos="720"/>
          <w:tab w:val="left" w:pos="360"/>
          <w:tab w:val="left" w:pos="450"/>
        </w:tabs>
      </w:pPr>
      <w:r>
        <w:br/>
      </w:r>
      <w:r w:rsidR="00CB69FA">
        <w:t xml:space="preserve">All installations onsite must be carried out by a competent and authorized electrician in accordance with relevant Australian Standards. </w:t>
      </w:r>
      <w:r w:rsidR="008A1C40">
        <w:t>Focus</w:t>
      </w:r>
      <w:r w:rsidR="00CB69FA">
        <w:t xml:space="preserve"> should be given </w:t>
      </w:r>
      <w:r w:rsidR="008A1C40">
        <w:t>to:</w:t>
      </w:r>
    </w:p>
    <w:p w14:paraId="52FB34C7" w14:textId="33A322E4" w:rsidR="00CB69FA" w:rsidRDefault="00CB69FA" w:rsidP="001972EC">
      <w:pPr>
        <w:pStyle w:val="ListParagraph"/>
        <w:numPr>
          <w:ilvl w:val="0"/>
          <w:numId w:val="5"/>
        </w:numPr>
        <w:tabs>
          <w:tab w:val="clear" w:pos="720"/>
          <w:tab w:val="left" w:pos="360"/>
          <w:tab w:val="left" w:pos="450"/>
        </w:tabs>
      </w:pPr>
      <w:r>
        <w:t>AS3000:2018 Wiring Rules</w:t>
      </w:r>
    </w:p>
    <w:p w14:paraId="147E4438" w14:textId="5BFE382D" w:rsidR="00CB69FA" w:rsidRDefault="00CB69FA" w:rsidP="001972EC">
      <w:pPr>
        <w:pStyle w:val="ListParagraph"/>
        <w:numPr>
          <w:ilvl w:val="0"/>
          <w:numId w:val="5"/>
        </w:numPr>
        <w:tabs>
          <w:tab w:val="clear" w:pos="720"/>
          <w:tab w:val="left" w:pos="360"/>
          <w:tab w:val="left" w:pos="450"/>
        </w:tabs>
      </w:pPr>
      <w:r>
        <w:t>AS3008:2017: Electrical Installations – Selection of Cables</w:t>
      </w:r>
    </w:p>
    <w:p w14:paraId="42BDEF70" w14:textId="1CBB71C4" w:rsidR="00CB69FA" w:rsidRDefault="00CB69FA" w:rsidP="001972EC">
      <w:pPr>
        <w:pStyle w:val="ListParagraph"/>
        <w:numPr>
          <w:ilvl w:val="0"/>
          <w:numId w:val="5"/>
        </w:numPr>
        <w:tabs>
          <w:tab w:val="clear" w:pos="720"/>
          <w:tab w:val="left" w:pos="360"/>
          <w:tab w:val="left" w:pos="450"/>
        </w:tabs>
      </w:pPr>
      <w:r>
        <w:t>AS3010:2014: Electrical Installations – Generating Sets</w:t>
      </w:r>
    </w:p>
    <w:p w14:paraId="5E0821DA" w14:textId="04C0E722" w:rsidR="00CB69FA" w:rsidRDefault="00CB69FA" w:rsidP="001972EC">
      <w:pPr>
        <w:pStyle w:val="ListParagraph"/>
        <w:numPr>
          <w:ilvl w:val="0"/>
          <w:numId w:val="5"/>
        </w:numPr>
        <w:tabs>
          <w:tab w:val="clear" w:pos="720"/>
          <w:tab w:val="left" w:pos="360"/>
          <w:tab w:val="left" w:pos="450"/>
        </w:tabs>
      </w:pPr>
      <w:r>
        <w:t>AS3007: Electrical equipment in mines and quarries – Surface Installations and associated processing plant</w:t>
      </w:r>
    </w:p>
    <w:p w14:paraId="396666D0" w14:textId="564A5078" w:rsidR="008A1C40" w:rsidRDefault="008A1C40" w:rsidP="008A1C40">
      <w:pPr>
        <w:tabs>
          <w:tab w:val="clear" w:pos="720"/>
          <w:tab w:val="left" w:pos="360"/>
          <w:tab w:val="left" w:pos="450"/>
        </w:tabs>
      </w:pPr>
      <w:r>
        <w:t>Furthermore, a risk-based approach must be adopted during installation and follow relevant site procedures and standards</w:t>
      </w:r>
      <w:r w:rsidR="000E4D66">
        <w:t xml:space="preserve"> including;</w:t>
      </w:r>
      <w:r>
        <w:t xml:space="preserve"> </w:t>
      </w:r>
    </w:p>
    <w:p w14:paraId="665B0583" w14:textId="57FE9C67" w:rsidR="000E4D66" w:rsidRDefault="000E4D66" w:rsidP="001972EC">
      <w:pPr>
        <w:pStyle w:val="ListParagraph"/>
        <w:numPr>
          <w:ilvl w:val="0"/>
          <w:numId w:val="6"/>
        </w:numPr>
        <w:tabs>
          <w:tab w:val="clear" w:pos="720"/>
          <w:tab w:val="left" w:pos="360"/>
          <w:tab w:val="left" w:pos="450"/>
        </w:tabs>
      </w:pPr>
      <w:r>
        <w:t>PHMP 0015 Control of Energy</w:t>
      </w:r>
    </w:p>
    <w:p w14:paraId="776FAF68" w14:textId="49A55281" w:rsidR="008A1C40" w:rsidRDefault="000E4D66" w:rsidP="001972EC">
      <w:pPr>
        <w:pStyle w:val="ListParagraph"/>
        <w:numPr>
          <w:ilvl w:val="0"/>
          <w:numId w:val="6"/>
        </w:numPr>
        <w:tabs>
          <w:tab w:val="clear" w:pos="720"/>
          <w:tab w:val="left" w:pos="360"/>
          <w:tab w:val="left" w:pos="450"/>
        </w:tabs>
      </w:pPr>
      <w:r>
        <w:t>SOP 0001 Access to Exposed Electrical Conductors,</w:t>
      </w:r>
    </w:p>
    <w:p w14:paraId="1D31D524" w14:textId="22360AB5" w:rsidR="00AE3D29" w:rsidRDefault="000E4D66" w:rsidP="001972EC">
      <w:pPr>
        <w:pStyle w:val="ListParagraph"/>
        <w:numPr>
          <w:ilvl w:val="0"/>
          <w:numId w:val="6"/>
        </w:numPr>
        <w:tabs>
          <w:tab w:val="clear" w:pos="720"/>
          <w:tab w:val="left" w:pos="360"/>
          <w:tab w:val="left" w:pos="450"/>
        </w:tabs>
      </w:pPr>
      <w:r>
        <w:t>SOP 0004 Electrical First Aid and Resuscitation</w:t>
      </w:r>
    </w:p>
    <w:p w14:paraId="0E45911B" w14:textId="188ABCF9" w:rsidR="0028717A" w:rsidRDefault="0028717A" w:rsidP="00F047F9">
      <w:pPr>
        <w:pStyle w:val="ListParagraph"/>
        <w:numPr>
          <w:ilvl w:val="0"/>
          <w:numId w:val="23"/>
        </w:numPr>
        <w:tabs>
          <w:tab w:val="clear" w:pos="1400"/>
        </w:tabs>
        <w:ind w:left="1080" w:hanging="360"/>
        <w:jc w:val="left"/>
        <w:rPr>
          <w:lang w:eastAsia="zh-CN" w:bidi="th-TH"/>
        </w:rPr>
      </w:pPr>
      <w:r>
        <w:t xml:space="preserve">SOP 0034 </w:t>
      </w:r>
      <w:r w:rsidRPr="007818C3">
        <w:rPr>
          <w:lang w:eastAsia="zh-CN" w:bidi="th-TH"/>
        </w:rPr>
        <w:t xml:space="preserve">Live Testing of Equipment </w:t>
      </w:r>
    </w:p>
    <w:p w14:paraId="1D24CCD5" w14:textId="47110507" w:rsidR="00AE3D29" w:rsidRDefault="00AE3D29" w:rsidP="00AE3D29">
      <w:pPr>
        <w:tabs>
          <w:tab w:val="clear" w:pos="720"/>
          <w:tab w:val="left" w:pos="360"/>
          <w:tab w:val="left" w:pos="450"/>
        </w:tabs>
      </w:pPr>
      <w:r>
        <w:t xml:space="preserve">The installation </w:t>
      </w:r>
      <w:r w:rsidR="00CD342A">
        <w:t>and commissioning</w:t>
      </w:r>
      <w:r w:rsidR="0028717A">
        <w:t xml:space="preserve"> checklist</w:t>
      </w:r>
      <w:r w:rsidR="00CD342A">
        <w:t xml:space="preserve"> of small transportable generator </w:t>
      </w:r>
      <w:r>
        <w:t>will cover</w:t>
      </w:r>
      <w:r w:rsidR="00CD342A">
        <w:t xml:space="preserve"> the following.</w:t>
      </w:r>
    </w:p>
    <w:p w14:paraId="49C2633C" w14:textId="6B4BE34B" w:rsidR="00AE3D29" w:rsidRDefault="00AE3D29" w:rsidP="00272126">
      <w:pPr>
        <w:pStyle w:val="Heading3"/>
      </w:pPr>
      <w:r>
        <w:lastRenderedPageBreak/>
        <w:t>Service Conditions</w:t>
      </w:r>
    </w:p>
    <w:p w14:paraId="4FB47E88" w14:textId="60C2ED7E" w:rsidR="00DD78D5" w:rsidRDefault="00DD78D5" w:rsidP="00DD78D5">
      <w:r>
        <w:t>The generator should be rated for ambient temperatures for minimum of -15</w:t>
      </w:r>
      <w:r>
        <w:rPr>
          <w:vertAlign w:val="superscript"/>
        </w:rPr>
        <w:t>o</w:t>
      </w:r>
      <w:r>
        <w:t>C and maximum of 40</w:t>
      </w:r>
      <w:r>
        <w:rPr>
          <w:vertAlign w:val="superscript"/>
        </w:rPr>
        <w:t>O</w:t>
      </w:r>
      <w:r>
        <w:t>C</w:t>
      </w:r>
    </w:p>
    <w:p w14:paraId="311DEB3E" w14:textId="1EF94ED6" w:rsidR="00DD78D5" w:rsidRDefault="00DD78D5" w:rsidP="00DD78D5">
      <w:r>
        <w:t>The owner should define the area of operation for the generator with either</w:t>
      </w:r>
    </w:p>
    <w:p w14:paraId="5D522927" w14:textId="0B18B069" w:rsidR="00DD78D5" w:rsidRDefault="00DD78D5" w:rsidP="001972EC">
      <w:pPr>
        <w:pStyle w:val="ListParagraph"/>
        <w:numPr>
          <w:ilvl w:val="0"/>
          <w:numId w:val="9"/>
        </w:numPr>
      </w:pPr>
      <w:r>
        <w:t>Undercover or weather protected usage</w:t>
      </w:r>
    </w:p>
    <w:p w14:paraId="4D345D5F" w14:textId="70EDA304" w:rsidR="00DD78D5" w:rsidRDefault="00DD78D5" w:rsidP="001972EC">
      <w:pPr>
        <w:pStyle w:val="ListParagraph"/>
        <w:numPr>
          <w:ilvl w:val="0"/>
          <w:numId w:val="9"/>
        </w:numPr>
      </w:pPr>
      <w:r>
        <w:t xml:space="preserve">Outdoor usage where IP54 must be maintained for all electrical enclosures </w:t>
      </w:r>
      <w:r w:rsidR="00EE1B1C">
        <w:t>and live parts, with</w:t>
      </w:r>
      <w:r>
        <w:t xml:space="preserve"> no exposed electrical conductors. </w:t>
      </w:r>
    </w:p>
    <w:p w14:paraId="4DF0D7FF" w14:textId="74277B2F" w:rsidR="00516461" w:rsidRDefault="00A33551" w:rsidP="00DD78D5">
      <w:r>
        <w:t xml:space="preserve">When used undercover </w:t>
      </w:r>
      <w:r w:rsidR="0028717A">
        <w:t>or in a housed area</w:t>
      </w:r>
      <w:r>
        <w:t xml:space="preserve"> </w:t>
      </w:r>
      <w:r w:rsidR="00516461">
        <w:t>considerable precaution must be taken to manage exhaust fumes that may</w:t>
      </w:r>
      <w:r w:rsidR="0028717A">
        <w:t xml:space="preserve"> pose as</w:t>
      </w:r>
      <w:r w:rsidR="00516461">
        <w:t xml:space="preserve"> a potential asphyxiation risk. </w:t>
      </w:r>
    </w:p>
    <w:p w14:paraId="547C9135" w14:textId="0E3B8450" w:rsidR="00522998" w:rsidRDefault="00297605" w:rsidP="00DD78D5">
      <w:r>
        <w:t xml:space="preserve">Generator electrical output shall </w:t>
      </w:r>
      <w:r w:rsidR="00C033E4">
        <w:t>have maximum allowed voltages as per phase design</w:t>
      </w:r>
      <w:r w:rsidR="00522998">
        <w:t>:</w:t>
      </w:r>
    </w:p>
    <w:p w14:paraId="34CE2CF2" w14:textId="1C011BAA" w:rsidR="00522998" w:rsidRDefault="00A539CE" w:rsidP="00522998">
      <w:pPr>
        <w:pStyle w:val="ListParagraph"/>
        <w:numPr>
          <w:ilvl w:val="0"/>
          <w:numId w:val="26"/>
        </w:numPr>
      </w:pPr>
      <w:r>
        <w:t>P</w:t>
      </w:r>
      <w:r w:rsidR="00522998">
        <w:t>hase to neutral</w:t>
      </w:r>
      <w:r>
        <w:t xml:space="preserve"> 230VAC</w:t>
      </w:r>
    </w:p>
    <w:p w14:paraId="379B402E" w14:textId="19A1FD82" w:rsidR="00A539CE" w:rsidRDefault="00A539CE" w:rsidP="00A539CE">
      <w:pPr>
        <w:pStyle w:val="ListParagraph"/>
        <w:numPr>
          <w:ilvl w:val="0"/>
          <w:numId w:val="26"/>
        </w:numPr>
      </w:pPr>
      <w:r>
        <w:t>Phase to phase 460VAC</w:t>
      </w:r>
    </w:p>
    <w:p w14:paraId="29ADA6B9" w14:textId="7FC57CA1" w:rsidR="00297605" w:rsidRDefault="00A539CE" w:rsidP="00522998">
      <w:pPr>
        <w:pStyle w:val="ListParagraph"/>
        <w:numPr>
          <w:ilvl w:val="0"/>
          <w:numId w:val="26"/>
        </w:numPr>
      </w:pPr>
      <w:r>
        <w:t>Center t</w:t>
      </w:r>
      <w:r w:rsidR="00522998">
        <w:t>apped</w:t>
      </w:r>
      <w:r>
        <w:t xml:space="preserve"> (</w:t>
      </w:r>
      <w:r w:rsidR="00522998">
        <w:t>180</w:t>
      </w:r>
      <w:r w:rsidR="00522998" w:rsidRPr="00522998">
        <w:rPr>
          <w:vertAlign w:val="superscript"/>
        </w:rPr>
        <w:t>o</w:t>
      </w:r>
      <w:r>
        <w:rPr>
          <w:vertAlign w:val="superscript"/>
        </w:rPr>
        <w:t xml:space="preserve"> </w:t>
      </w:r>
      <w:r>
        <w:t>phase to phase) 230VAC</w:t>
      </w:r>
    </w:p>
    <w:p w14:paraId="564B19BC" w14:textId="006565EA" w:rsidR="00A539CE" w:rsidRPr="00522998" w:rsidRDefault="00A539CE" w:rsidP="00A539CE">
      <w:r>
        <w:t>Additionally, an ELV circuit is allowed for battery charging purposes.</w:t>
      </w:r>
    </w:p>
    <w:p w14:paraId="541C7F0F" w14:textId="4BA97302" w:rsidR="00AE3D29" w:rsidRDefault="00AE3D29" w:rsidP="00272126">
      <w:pPr>
        <w:pStyle w:val="Heading3"/>
      </w:pPr>
      <w:r>
        <w:t>Electrical installation and protection</w:t>
      </w:r>
    </w:p>
    <w:p w14:paraId="7B05174F" w14:textId="520EDE9C" w:rsidR="00516461" w:rsidRDefault="00AE3D29" w:rsidP="00516461">
      <w:pPr>
        <w:pStyle w:val="Heading4"/>
      </w:pPr>
      <w:r>
        <w:t>Cabling</w:t>
      </w:r>
      <w:r w:rsidR="008B2251">
        <w:t xml:space="preserve"> and live parts</w:t>
      </w:r>
    </w:p>
    <w:p w14:paraId="46FE51C5" w14:textId="79220A11" w:rsidR="00516461" w:rsidRDefault="0028717A" w:rsidP="00516461">
      <w:r>
        <w:br/>
      </w:r>
      <w:r w:rsidR="00516461">
        <w:t xml:space="preserve">All exposed cables shall be identified as per AS 3100, and all cables that are connected to the frame must be considered as earthing cables. </w:t>
      </w:r>
      <w:r>
        <w:t>All cable installations</w:t>
      </w:r>
      <w:r w:rsidR="00516461">
        <w:t xml:space="preserve"> must comply with AS3000:2018 Wiring Rules.</w:t>
      </w:r>
      <w:r w:rsidR="0092464F">
        <w:t xml:space="preserve"> Attention </w:t>
      </w:r>
      <w:r>
        <w:t>should</w:t>
      </w:r>
      <w:r w:rsidR="0092464F">
        <w:t xml:space="preserve"> be given to wires that may undergo mechanical impact</w:t>
      </w:r>
      <w:r>
        <w:t xml:space="preserve"> such as </w:t>
      </w:r>
      <w:r w:rsidR="0092464F">
        <w:t>pull, twist or pinch</w:t>
      </w:r>
      <w:r>
        <w:t xml:space="preserve"> motions</w:t>
      </w:r>
      <w:r w:rsidR="0092464F">
        <w:t xml:space="preserve"> during normal operation or maintenance. Cables that may be exposed to such adverse effects should</w:t>
      </w:r>
      <w:r w:rsidR="00C033E4">
        <w:t xml:space="preserve"> be either </w:t>
      </w:r>
      <w:r w:rsidR="0092464F">
        <w:t xml:space="preserve">armored, in conduit or protected by equivalent mechanical protection.  </w:t>
      </w:r>
    </w:p>
    <w:p w14:paraId="34B0FEAD" w14:textId="79CC2DCB" w:rsidR="0092464F" w:rsidRDefault="00516461" w:rsidP="00516461">
      <w:commentRangeStart w:id="0"/>
      <w:r>
        <w:t>Where low voltage and extra low voltage circuits are available such as battery charging ELV cables, they must be separated by double insulation from LV circuits</w:t>
      </w:r>
      <w:commentRangeEnd w:id="0"/>
      <w:r w:rsidR="0028717A">
        <w:rPr>
          <w:rStyle w:val="CommentReference"/>
        </w:rPr>
        <w:commentReference w:id="0"/>
      </w:r>
      <w:r>
        <w:t>.</w:t>
      </w:r>
    </w:p>
    <w:p w14:paraId="2905ACF9" w14:textId="404F4AA6" w:rsidR="008B2251" w:rsidRDefault="008B2251" w:rsidP="00516461">
      <w:r>
        <w:t xml:space="preserve">There </w:t>
      </w:r>
      <w:r w:rsidR="0028717A">
        <w:t>shall</w:t>
      </w:r>
      <w:r>
        <w:t xml:space="preserve"> not be any exposed </w:t>
      </w:r>
      <w:r w:rsidR="00552052">
        <w:t>live parts including the neutral</w:t>
      </w:r>
      <w:r>
        <w:t xml:space="preserve"> that may directly or indirectly allow contact with personnel or the generator frame. Adequate guarding </w:t>
      </w:r>
      <w:r w:rsidR="0028717A">
        <w:t>shall</w:t>
      </w:r>
      <w:r>
        <w:t xml:space="preserve"> be provided </w:t>
      </w:r>
      <w:r w:rsidR="0028717A">
        <w:t>for such live parts,</w:t>
      </w:r>
      <w:r>
        <w:t xml:space="preserve"> with consideration</w:t>
      </w:r>
      <w:r w:rsidR="00552052">
        <w:t xml:space="preserve"> given</w:t>
      </w:r>
      <w:r>
        <w:t xml:space="preserve"> to ensure th</w:t>
      </w:r>
      <w:r w:rsidR="00552052">
        <w:t>at</w:t>
      </w:r>
      <w:r w:rsidR="0028717A">
        <w:t xml:space="preserve"> the</w:t>
      </w:r>
      <w:r>
        <w:t xml:space="preserve"> guarding will not in-advertently </w:t>
      </w:r>
      <w:r w:rsidR="00552052">
        <w:t>contact</w:t>
      </w:r>
      <w:r>
        <w:t xml:space="preserve"> live parts. </w:t>
      </w:r>
    </w:p>
    <w:p w14:paraId="1E199B87" w14:textId="330BBCEB" w:rsidR="00552052" w:rsidRDefault="00552052" w:rsidP="00516461">
      <w:r>
        <w:t>All covers</w:t>
      </w:r>
      <w:r w:rsidR="0028717A">
        <w:t xml:space="preserve"> or guarding</w:t>
      </w:r>
      <w:r>
        <w:t xml:space="preserve"> that may expose a person to live part must require a special tool to open and expose the live parts. </w:t>
      </w:r>
    </w:p>
    <w:p w14:paraId="6E8F3819" w14:textId="2FDB9000" w:rsidR="00AE3D29" w:rsidRDefault="00AE3D29" w:rsidP="00272126">
      <w:pPr>
        <w:pStyle w:val="Heading4"/>
      </w:pPr>
      <w:r>
        <w:t>Joints and connections</w:t>
      </w:r>
    </w:p>
    <w:p w14:paraId="153010F7" w14:textId="2CBBA405" w:rsidR="00516461" w:rsidRDefault="008B2251" w:rsidP="00516461">
      <w:r>
        <w:t>All</w:t>
      </w:r>
      <w:r w:rsidR="0092464F">
        <w:t xml:space="preserve"> joints and connections shall have adequate strength to withstand mechanical pull, twist</w:t>
      </w:r>
      <w:r w:rsidR="009C2DA0">
        <w:t>,</w:t>
      </w:r>
      <w:r w:rsidR="0092464F">
        <w:t xml:space="preserve"> and vibration during normal operation or standard maintenance. </w:t>
      </w:r>
      <w:r>
        <w:t xml:space="preserve">They shall be in good condition such that a failure is unlikely during in its foreseeable machine operation. </w:t>
      </w:r>
    </w:p>
    <w:p w14:paraId="1E0889D4" w14:textId="3B8891CE" w:rsidR="0028717A" w:rsidRDefault="0028717A" w:rsidP="00516461">
      <w:r>
        <w:t xml:space="preserve">Where there are busbar joints, they shall be tin or silver-plated, and shall be bolted to assembly. </w:t>
      </w:r>
      <w:r w:rsidR="00B24921">
        <w:t xml:space="preserve">The bus bars shall be air insulated and there shall be no other equipment within the bus bar zone. The bus bar shall be </w:t>
      </w:r>
      <w:proofErr w:type="spellStart"/>
      <w:r w:rsidR="00B24921">
        <w:t>colour</w:t>
      </w:r>
      <w:proofErr w:type="spellEnd"/>
      <w:r w:rsidR="00B24921">
        <w:t xml:space="preserve"> coded for an anti-clockwise phase rotation system</w:t>
      </w:r>
      <w:r w:rsidR="00FC1F19">
        <w:t xml:space="preserve"> </w:t>
      </w:r>
      <w:r w:rsidR="00B24921">
        <w:t>(</w:t>
      </w:r>
      <w:r w:rsidR="009C0631">
        <w:t>for a three-</w:t>
      </w:r>
      <w:r w:rsidR="00B24921">
        <w:t>phase</w:t>
      </w:r>
      <w:r w:rsidR="009C0631">
        <w:t xml:space="preserve"> supply</w:t>
      </w:r>
      <w:r w:rsidR="00B24921">
        <w:t xml:space="preserve">).  </w:t>
      </w:r>
    </w:p>
    <w:p w14:paraId="1F450813" w14:textId="701C2455" w:rsidR="00B24921" w:rsidRPr="00516461" w:rsidRDefault="00B24921" w:rsidP="00516461">
      <w:r>
        <w:lastRenderedPageBreak/>
        <w:t xml:space="preserve">Where there is a separate cable termination enclosure, the enclosure must be rated IP55 for outdoor use. Cable entry shall be </w:t>
      </w:r>
      <w:proofErr w:type="spellStart"/>
      <w:r>
        <w:t>glanded</w:t>
      </w:r>
      <w:proofErr w:type="spellEnd"/>
      <w:r>
        <w:t xml:space="preserve"> with plated bolts, nuts and spring washers. The cable glands must accommodate next largest cable size </w:t>
      </w:r>
      <w:r w:rsidR="009C0631">
        <w:t xml:space="preserve">that is </w:t>
      </w:r>
      <w:r>
        <w:t xml:space="preserve">rated above the generator rated current. </w:t>
      </w:r>
    </w:p>
    <w:p w14:paraId="275EE344" w14:textId="7F7BE9C0" w:rsidR="00AE3D29" w:rsidRDefault="00AE3D29" w:rsidP="00272126">
      <w:pPr>
        <w:pStyle w:val="Heading4"/>
      </w:pPr>
      <w:r>
        <w:t>Earthing</w:t>
      </w:r>
      <w:r w:rsidR="008B2251">
        <w:t xml:space="preserve"> and bonding</w:t>
      </w:r>
    </w:p>
    <w:p w14:paraId="2B716C40" w14:textId="77D31B40" w:rsidR="008B2251" w:rsidRDefault="008B2251" w:rsidP="008B2251">
      <w:r>
        <w:t xml:space="preserve">All exposed metal parts </w:t>
      </w:r>
      <w:r w:rsidR="009C0631">
        <w:t xml:space="preserve">shall </w:t>
      </w:r>
      <w:r>
        <w:t xml:space="preserve">have means of earthing. They shall be in good electrical contact with each other with a common earthing facility that </w:t>
      </w:r>
      <w:r w:rsidR="009C0631">
        <w:t>is</w:t>
      </w:r>
      <w:r>
        <w:t xml:space="preserve"> used for effective earthing. </w:t>
      </w:r>
      <w:r w:rsidR="00552052">
        <w:t>Ea</w:t>
      </w:r>
      <w:r>
        <w:t xml:space="preserve">rthing connection </w:t>
      </w:r>
      <w:r w:rsidR="00552052">
        <w:t xml:space="preserve">on frame </w:t>
      </w:r>
      <w:r>
        <w:t>must</w:t>
      </w:r>
      <w:r w:rsidR="00552052">
        <w:t xml:space="preserve"> be</w:t>
      </w:r>
      <w:r>
        <w:t xml:space="preserve"> clearly marked for </w:t>
      </w:r>
      <w:commentRangeStart w:id="1"/>
      <w:r>
        <w:t>identification</w:t>
      </w:r>
      <w:commentRangeEnd w:id="1"/>
      <w:r w:rsidR="009C0631">
        <w:rPr>
          <w:rStyle w:val="CommentReference"/>
        </w:rPr>
        <w:commentReference w:id="1"/>
      </w:r>
      <w:r>
        <w:t xml:space="preserve">. </w:t>
      </w:r>
    </w:p>
    <w:p w14:paraId="7DBA6D7C" w14:textId="4F83D936" w:rsidR="00552052" w:rsidRDefault="00552052" w:rsidP="008B2251">
      <w:r>
        <w:t>Equipotential bonding must be effective on each other of the following:</w:t>
      </w:r>
    </w:p>
    <w:p w14:paraId="40C1018B" w14:textId="7794C0EB" w:rsidR="00552052" w:rsidRDefault="00552052" w:rsidP="001972EC">
      <w:pPr>
        <w:pStyle w:val="ListParagraph"/>
        <w:numPr>
          <w:ilvl w:val="0"/>
          <w:numId w:val="10"/>
        </w:numPr>
      </w:pPr>
      <w:r>
        <w:t xml:space="preserve">The engine </w:t>
      </w:r>
      <w:proofErr w:type="gramStart"/>
      <w:r>
        <w:t>frame</w:t>
      </w:r>
      <w:proofErr w:type="gramEnd"/>
      <w:r>
        <w:t>.</w:t>
      </w:r>
    </w:p>
    <w:p w14:paraId="4764FDB3" w14:textId="20B9E285" w:rsidR="00552052" w:rsidRDefault="00552052" w:rsidP="001972EC">
      <w:pPr>
        <w:pStyle w:val="ListParagraph"/>
        <w:numPr>
          <w:ilvl w:val="0"/>
          <w:numId w:val="10"/>
        </w:numPr>
      </w:pPr>
      <w:r>
        <w:t>The generator frame.</w:t>
      </w:r>
    </w:p>
    <w:p w14:paraId="08658B74" w14:textId="1633D891" w:rsidR="00552052" w:rsidRDefault="00552052" w:rsidP="001972EC">
      <w:pPr>
        <w:pStyle w:val="ListParagraph"/>
        <w:numPr>
          <w:ilvl w:val="0"/>
          <w:numId w:val="10"/>
        </w:numPr>
      </w:pPr>
      <w:r>
        <w:t>All external metal enclosing electrical equipment or wiring.</w:t>
      </w:r>
    </w:p>
    <w:p w14:paraId="3AA3A94C" w14:textId="5E07FAC1" w:rsidR="00552052" w:rsidRDefault="00552052" w:rsidP="001972EC">
      <w:pPr>
        <w:pStyle w:val="ListParagraph"/>
        <w:numPr>
          <w:ilvl w:val="0"/>
          <w:numId w:val="10"/>
        </w:numPr>
      </w:pPr>
      <w:r>
        <w:t>The ‘earth’ terminals of all socket outlets.</w:t>
      </w:r>
    </w:p>
    <w:p w14:paraId="33A29F61" w14:textId="62141A4D" w:rsidR="00552052" w:rsidRDefault="00552052" w:rsidP="001972EC">
      <w:pPr>
        <w:pStyle w:val="ListParagraph"/>
        <w:numPr>
          <w:ilvl w:val="0"/>
          <w:numId w:val="10"/>
        </w:numPr>
      </w:pPr>
      <w:r>
        <w:t>The main frame.</w:t>
      </w:r>
    </w:p>
    <w:p w14:paraId="00C90CC1" w14:textId="0D9A13FE" w:rsidR="00552052" w:rsidRDefault="00552052" w:rsidP="001972EC">
      <w:pPr>
        <w:pStyle w:val="ListParagraph"/>
        <w:numPr>
          <w:ilvl w:val="0"/>
          <w:numId w:val="10"/>
        </w:numPr>
      </w:pPr>
      <w:r>
        <w:t xml:space="preserve">The main winding, as specified in section </w:t>
      </w:r>
      <w:r w:rsidR="00D36976">
        <w:t>5</w:t>
      </w:r>
      <w:r>
        <w:t>.2.2.</w:t>
      </w:r>
      <w:r w:rsidR="00D36976">
        <w:t>5</w:t>
      </w:r>
      <w:r>
        <w:t>.</w:t>
      </w:r>
    </w:p>
    <w:p w14:paraId="1030BFB7" w14:textId="05006289" w:rsidR="00552052" w:rsidRDefault="00552052" w:rsidP="001972EC">
      <w:pPr>
        <w:pStyle w:val="ListParagraph"/>
        <w:numPr>
          <w:ilvl w:val="0"/>
          <w:numId w:val="10"/>
        </w:numPr>
      </w:pPr>
      <w:r>
        <w:t>The ‘earth’ connection of any electronic circuitry that may need to be connected to above items.</w:t>
      </w:r>
    </w:p>
    <w:p w14:paraId="540EDE96" w14:textId="328D9C85" w:rsidR="008B2251" w:rsidRDefault="008B2251" w:rsidP="008B2251">
      <w:r>
        <w:t xml:space="preserve">Resistance between any metal part to the earthing facility must not exceed </w:t>
      </w:r>
      <m:oMath>
        <m:r>
          <w:rPr>
            <w:rFonts w:ascii="Cambria Math" w:hAnsi="Cambria Math"/>
          </w:rPr>
          <m:t>1</m:t>
        </m:r>
        <m:r>
          <m:rPr>
            <m:sty m:val="p"/>
          </m:rPr>
          <w:rPr>
            <w:rFonts w:ascii="Cambria Math" w:hAnsi="Cambria Math"/>
          </w:rPr>
          <m:t>Ω</m:t>
        </m:r>
      </m:oMath>
      <w:r w:rsidR="00552052">
        <w:t xml:space="preserve">. All earthing and bonding cables must not exceed resistance of </w:t>
      </w:r>
      <m:oMath>
        <m:r>
          <w:rPr>
            <w:rFonts w:ascii="Cambria Math" w:hAnsi="Cambria Math"/>
          </w:rPr>
          <m:t>0.1</m:t>
        </m:r>
        <m:r>
          <m:rPr>
            <m:sty m:val="p"/>
          </m:rPr>
          <w:rPr>
            <w:rFonts w:ascii="Cambria Math" w:hAnsi="Cambria Math"/>
          </w:rPr>
          <m:t>Ω</m:t>
        </m:r>
      </m:oMath>
      <w:r w:rsidR="00552052">
        <w:t>.</w:t>
      </w:r>
    </w:p>
    <w:p w14:paraId="3E5EC639" w14:textId="1FE0A161" w:rsidR="00552052" w:rsidRPr="00C10A6E" w:rsidRDefault="00C10A6E" w:rsidP="008B2251">
      <w:r>
        <w:t>All e</w:t>
      </w:r>
      <w:r w:rsidRPr="00C10A6E">
        <w:t>arthing</w:t>
      </w:r>
      <w:r>
        <w:t xml:space="preserve"> cable sizes must be in accordance of Clause 5.3.3.1.3, AS 3000:2007 Wiring Rules except </w:t>
      </w:r>
      <w:r w:rsidR="00BD7E0F">
        <w:t>that</w:t>
      </w:r>
      <w:r>
        <w:t xml:space="preserve"> minimum earthing cable size shall be </w:t>
      </w:r>
      <w:r w:rsidRPr="00C10A6E">
        <w:t>6mm</w:t>
      </w:r>
      <w:r w:rsidRPr="00C10A6E">
        <w:rPr>
          <w:vertAlign w:val="superscript"/>
        </w:rPr>
        <w:t>2</w:t>
      </w:r>
      <w:r>
        <w:t xml:space="preserve"> </w:t>
      </w:r>
      <w:r w:rsidR="00B5315C">
        <w:t>copper</w:t>
      </w:r>
      <w:r>
        <w:t xml:space="preserve"> PVC covered green &amp; yellow earthing cable.  </w:t>
      </w:r>
    </w:p>
    <w:p w14:paraId="1E2C97F9" w14:textId="3D9BC710" w:rsidR="007F366A" w:rsidRDefault="007F366A" w:rsidP="00D36976">
      <w:pPr>
        <w:pStyle w:val="Heading4"/>
      </w:pPr>
      <w:r>
        <w:t>Outlet overload protection</w:t>
      </w:r>
    </w:p>
    <w:p w14:paraId="2FCEDD5C" w14:textId="626F5444" w:rsidR="007F366A" w:rsidRDefault="007F366A" w:rsidP="007F366A">
      <w:r>
        <w:t xml:space="preserve">Overload protection should be in the form of circuit breakers in accordance with AS 60898 except where authorization is given </w:t>
      </w:r>
      <w:r w:rsidR="004667FC">
        <w:t>by</w:t>
      </w:r>
      <w:r>
        <w:t xml:space="preserve"> EEMs </w:t>
      </w:r>
      <w:r w:rsidR="004667FC">
        <w:t xml:space="preserve">on his own </w:t>
      </w:r>
      <w:r>
        <w:t>discretion</w:t>
      </w:r>
      <w:r w:rsidR="004667FC">
        <w:t xml:space="preserve"> for usage of</w:t>
      </w:r>
      <w:r>
        <w:t xml:space="preserve"> Fuses</w:t>
      </w:r>
      <w:r w:rsidR="004667FC">
        <w:t xml:space="preserve"> and/or </w:t>
      </w:r>
      <w:r>
        <w:t xml:space="preserve">electronic module devices (stable voltage and frequency governance) for generators up to 15kW </w:t>
      </w:r>
      <w:r w:rsidR="00611C3A">
        <w:t>where</w:t>
      </w:r>
      <w:r>
        <w:t xml:space="preserve"> used in</w:t>
      </w:r>
      <w:r w:rsidR="00611C3A">
        <w:t xml:space="preserve"> certain</w:t>
      </w:r>
      <w:r>
        <w:t xml:space="preserve"> restricted applications. </w:t>
      </w:r>
    </w:p>
    <w:p w14:paraId="43B7537E" w14:textId="510CCEF5" w:rsidR="00317A72" w:rsidRPr="00516461" w:rsidRDefault="007F366A" w:rsidP="007F366A">
      <w:r>
        <w:t>The circuit breakers shall be accessible without a special tool. Breaking capacity of CBs shall be able to withstand full fault current of the supply. Pickup values and time setting shall be adequate to protect any outgoing supplies by OEM recommendation</w:t>
      </w:r>
      <w:r w:rsidR="004667FC">
        <w:t xml:space="preserve">, </w:t>
      </w:r>
      <w:r>
        <w:t>power study</w:t>
      </w:r>
      <w:r w:rsidR="004667FC">
        <w:t xml:space="preserve"> or </w:t>
      </w:r>
      <w:r>
        <w:t>the chosen CBs shall be able to provide overcurrent protection to any outlet and/or cables.</w:t>
      </w:r>
    </w:p>
    <w:p w14:paraId="1C83CDA8" w14:textId="3BBECDD1" w:rsidR="00552052" w:rsidRDefault="00420054" w:rsidP="007628C6">
      <w:pPr>
        <w:pStyle w:val="Heading4"/>
      </w:pPr>
      <w:r>
        <w:t>Winding connections</w:t>
      </w:r>
    </w:p>
    <w:p w14:paraId="21EA97F4" w14:textId="02289020" w:rsidR="007628C6" w:rsidRDefault="007628C6" w:rsidP="001972EC">
      <w:pPr>
        <w:pStyle w:val="ListParagraph"/>
        <w:numPr>
          <w:ilvl w:val="0"/>
          <w:numId w:val="11"/>
        </w:numPr>
      </w:pPr>
      <w:r>
        <w:t>Single-Phase</w:t>
      </w:r>
      <w:r w:rsidR="00A501A1">
        <w:t xml:space="preserve"> (RCD protected)</w:t>
      </w:r>
    </w:p>
    <w:p w14:paraId="5A6312E0" w14:textId="694F51F1" w:rsidR="007628C6" w:rsidRDefault="005F4BC6" w:rsidP="007628C6">
      <w:pPr>
        <w:pStyle w:val="ListParagraph"/>
        <w:ind w:left="360"/>
      </w:pPr>
      <w:r>
        <w:t xml:space="preserve">The outlets </w:t>
      </w:r>
      <w:r w:rsidR="005B186F">
        <w:t>shall</w:t>
      </w:r>
      <w:r>
        <w:t xml:space="preserve"> be </w:t>
      </w:r>
      <w:r w:rsidR="003C389E">
        <w:t xml:space="preserve">30mA </w:t>
      </w:r>
      <w:r>
        <w:t>RCD protected</w:t>
      </w:r>
      <w:r w:rsidR="003C389E">
        <w:t>. Refer to diagram below</w:t>
      </w:r>
    </w:p>
    <w:p w14:paraId="32792495" w14:textId="77777777" w:rsidR="003C389E" w:rsidRDefault="003C389E" w:rsidP="003C389E">
      <w:pPr>
        <w:pStyle w:val="ListParagraph"/>
        <w:keepNext/>
        <w:ind w:left="360"/>
      </w:pPr>
      <w:r>
        <w:rPr>
          <w:noProof/>
        </w:rPr>
        <w:lastRenderedPageBreak/>
        <w:drawing>
          <wp:inline distT="0" distB="0" distL="0" distR="0" wp14:anchorId="34863931" wp14:editId="75FA18B5">
            <wp:extent cx="6172200" cy="387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72200" cy="3873500"/>
                    </a:xfrm>
                    <a:prstGeom prst="rect">
                      <a:avLst/>
                    </a:prstGeom>
                  </pic:spPr>
                </pic:pic>
              </a:graphicData>
            </a:graphic>
          </wp:inline>
        </w:drawing>
      </w:r>
    </w:p>
    <w:p w14:paraId="36176176" w14:textId="57B8D469" w:rsidR="003C389E" w:rsidRPr="003C389E" w:rsidRDefault="003C389E" w:rsidP="003C389E">
      <w:pPr>
        <w:pStyle w:val="Caption"/>
        <w:jc w:val="center"/>
        <w:rPr>
          <w:i w:val="0"/>
          <w:color w:val="auto"/>
        </w:rPr>
      </w:pPr>
      <w:r w:rsidRPr="003C389E">
        <w:rPr>
          <w:i w:val="0"/>
          <w:color w:val="auto"/>
        </w:rPr>
        <w:t xml:space="preserve">Figure </w:t>
      </w:r>
      <w:r w:rsidRPr="003C389E">
        <w:rPr>
          <w:i w:val="0"/>
          <w:color w:val="auto"/>
        </w:rPr>
        <w:fldChar w:fldCharType="begin"/>
      </w:r>
      <w:r w:rsidRPr="003C389E">
        <w:rPr>
          <w:i w:val="0"/>
          <w:color w:val="auto"/>
        </w:rPr>
        <w:instrText xml:space="preserve"> SEQ Figure \* ARABIC </w:instrText>
      </w:r>
      <w:r w:rsidRPr="003C389E">
        <w:rPr>
          <w:i w:val="0"/>
          <w:color w:val="auto"/>
        </w:rPr>
        <w:fldChar w:fldCharType="separate"/>
      </w:r>
      <w:r w:rsidR="00CF6ED0">
        <w:rPr>
          <w:i w:val="0"/>
          <w:noProof/>
          <w:color w:val="auto"/>
        </w:rPr>
        <w:t>1</w:t>
      </w:r>
      <w:r w:rsidRPr="003C389E">
        <w:rPr>
          <w:i w:val="0"/>
          <w:color w:val="auto"/>
        </w:rPr>
        <w:fldChar w:fldCharType="end"/>
      </w:r>
      <w:r w:rsidRPr="003C389E">
        <w:rPr>
          <w:i w:val="0"/>
          <w:color w:val="auto"/>
        </w:rPr>
        <w:t>:AS 3010:2017 Figure B</w:t>
      </w:r>
      <w:r w:rsidR="00CF6ED0">
        <w:rPr>
          <w:i w:val="0"/>
          <w:color w:val="auto"/>
        </w:rPr>
        <w:t>4</w:t>
      </w:r>
      <w:r w:rsidRPr="003C389E">
        <w:rPr>
          <w:i w:val="0"/>
          <w:noProof/>
          <w:color w:val="auto"/>
        </w:rPr>
        <w:t xml:space="preserve"> RCD protected outlets</w:t>
      </w:r>
    </w:p>
    <w:p w14:paraId="470CDDE0" w14:textId="2E079140" w:rsidR="007628C6" w:rsidRDefault="007628C6" w:rsidP="001972EC">
      <w:pPr>
        <w:pStyle w:val="ListParagraph"/>
        <w:numPr>
          <w:ilvl w:val="0"/>
          <w:numId w:val="11"/>
        </w:numPr>
      </w:pPr>
      <w:r>
        <w:t>Three Phase</w:t>
      </w:r>
      <w:r w:rsidR="00CC69DE">
        <w:t xml:space="preserve"> (Iso</w:t>
      </w:r>
      <w:r w:rsidR="00A501A1">
        <w:t>l</w:t>
      </w:r>
      <w:r w:rsidR="00CC69DE">
        <w:t>ate</w:t>
      </w:r>
      <w:r w:rsidR="00A501A1">
        <w:t>d)</w:t>
      </w:r>
    </w:p>
    <w:p w14:paraId="55438193" w14:textId="4B1BF19C" w:rsidR="00CF6ED0" w:rsidRDefault="00CF6ED0" w:rsidP="00CF6ED0">
      <w:r>
        <w:t xml:space="preserve">There </w:t>
      </w:r>
      <w:r w:rsidR="002C4850">
        <w:t>shall</w:t>
      </w:r>
      <w:r>
        <w:t xml:space="preserve"> be no connection between the frame and the neutral point of the windings.</w:t>
      </w:r>
    </w:p>
    <w:p w14:paraId="00FF1603" w14:textId="7086D6EA" w:rsidR="00CF6ED0" w:rsidRDefault="00A501A1" w:rsidP="00CF6ED0">
      <w:r>
        <w:t xml:space="preserve">The 3 </w:t>
      </w:r>
      <w:proofErr w:type="spellStart"/>
      <w:proofErr w:type="gramStart"/>
      <w:r>
        <w:t>phase</w:t>
      </w:r>
      <w:proofErr w:type="gramEnd"/>
      <w:r>
        <w:t>+N+E</w:t>
      </w:r>
      <w:proofErr w:type="spellEnd"/>
      <w:r>
        <w:t xml:space="preserve"> connection shall be connected to main switchboard with MEN. The main switchboard shall appropriate earth fault and overload protection. </w:t>
      </w:r>
    </w:p>
    <w:p w14:paraId="7F305123" w14:textId="77777777" w:rsidR="00CF6ED0" w:rsidRDefault="00CF6ED0" w:rsidP="00CF6ED0">
      <w:pPr>
        <w:keepNext/>
        <w:jc w:val="center"/>
      </w:pPr>
      <w:r>
        <w:rPr>
          <w:noProof/>
        </w:rPr>
        <w:lastRenderedPageBreak/>
        <w:drawing>
          <wp:inline distT="0" distB="0" distL="0" distR="0" wp14:anchorId="54D5A79F" wp14:editId="238C55E8">
            <wp:extent cx="4305300" cy="43719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05300" cy="4371975"/>
                    </a:xfrm>
                    <a:prstGeom prst="rect">
                      <a:avLst/>
                    </a:prstGeom>
                  </pic:spPr>
                </pic:pic>
              </a:graphicData>
            </a:graphic>
          </wp:inline>
        </w:drawing>
      </w:r>
    </w:p>
    <w:p w14:paraId="0D9D7AAD" w14:textId="7A417632" w:rsidR="00CF6ED0" w:rsidRDefault="00CF6ED0" w:rsidP="00CF6ED0">
      <w:pPr>
        <w:pStyle w:val="Caption"/>
        <w:jc w:val="center"/>
      </w:pPr>
      <w:r>
        <w:t xml:space="preserve">Figure </w:t>
      </w:r>
      <w:r w:rsidR="00857E18">
        <w:rPr>
          <w:noProof/>
        </w:rPr>
        <w:fldChar w:fldCharType="begin"/>
      </w:r>
      <w:r w:rsidR="00857E18">
        <w:rPr>
          <w:noProof/>
        </w:rPr>
        <w:instrText xml:space="preserve"> SEQ Figure \* ARABIC </w:instrText>
      </w:r>
      <w:r w:rsidR="00857E18">
        <w:rPr>
          <w:noProof/>
        </w:rPr>
        <w:fldChar w:fldCharType="separate"/>
      </w:r>
      <w:r>
        <w:rPr>
          <w:noProof/>
        </w:rPr>
        <w:t>2</w:t>
      </w:r>
      <w:r w:rsidR="00857E18">
        <w:rPr>
          <w:noProof/>
        </w:rPr>
        <w:fldChar w:fldCharType="end"/>
      </w:r>
      <w:r>
        <w:t xml:space="preserve">: AS 3010:2017 Figure B2 Three phase generating set with 3 </w:t>
      </w:r>
      <w:proofErr w:type="gramStart"/>
      <w:r>
        <w:t>phase</w:t>
      </w:r>
      <w:proofErr w:type="gramEnd"/>
      <w:r>
        <w:t xml:space="preserve"> +N+E connection</w:t>
      </w:r>
    </w:p>
    <w:p w14:paraId="0FE93985" w14:textId="7A7EDA46" w:rsidR="00CF6ED0" w:rsidRDefault="00A501A1" w:rsidP="00A501A1">
      <w:pPr>
        <w:pStyle w:val="ListParagraph"/>
        <w:numPr>
          <w:ilvl w:val="0"/>
          <w:numId w:val="11"/>
        </w:numPr>
      </w:pPr>
      <w:r>
        <w:t xml:space="preserve">Three </w:t>
      </w:r>
      <w:proofErr w:type="gramStart"/>
      <w:r>
        <w:t>phase</w:t>
      </w:r>
      <w:proofErr w:type="gramEnd"/>
      <w:r>
        <w:t xml:space="preserve"> (RCD Protected)</w:t>
      </w:r>
    </w:p>
    <w:p w14:paraId="56A7ED9B" w14:textId="06CF6C79" w:rsidR="00A501A1" w:rsidRDefault="00A501A1" w:rsidP="00A501A1">
      <w:pPr>
        <w:pStyle w:val="ListParagraph"/>
        <w:ind w:left="360"/>
      </w:pPr>
    </w:p>
    <w:p w14:paraId="5E8121C4" w14:textId="5A267F83" w:rsidR="00CC73B4" w:rsidRDefault="00CC73B4" w:rsidP="00A501A1">
      <w:pPr>
        <w:pStyle w:val="ListParagraph"/>
        <w:ind w:left="360"/>
      </w:pPr>
      <w:r>
        <w:t xml:space="preserve">There shall be </w:t>
      </w:r>
      <w:r w:rsidR="002466C7">
        <w:t>connection made between frame and winding neutral.</w:t>
      </w:r>
    </w:p>
    <w:p w14:paraId="11F6A8FF" w14:textId="77777777" w:rsidR="002466C7" w:rsidRDefault="002466C7" w:rsidP="00A501A1">
      <w:pPr>
        <w:pStyle w:val="ListParagraph"/>
        <w:ind w:left="360"/>
      </w:pPr>
    </w:p>
    <w:p w14:paraId="6F88BAA5" w14:textId="5F687EC7" w:rsidR="00A501A1" w:rsidRPr="007628C6" w:rsidRDefault="00A501A1" w:rsidP="00A501A1">
      <w:pPr>
        <w:pStyle w:val="ListParagraph"/>
        <w:ind w:left="360"/>
      </w:pPr>
      <w:r>
        <w:t xml:space="preserve">Where 3 </w:t>
      </w:r>
      <w:proofErr w:type="gramStart"/>
      <w:r>
        <w:t>phase</w:t>
      </w:r>
      <w:proofErr w:type="gramEnd"/>
      <w:r>
        <w:t xml:space="preserve"> +N connection or single phase outlets are available on a three phase generator, the outlets shall be protected by RCDs or suitable earth leakage protection device where the input terminal of the RCD/ELD shall be connected to the earth terminal of generating frame. EL protection shall be 30mA pickup if load is directly connected to the generator; Otherwise, 100mA ELD may be used to obtain discrimination provided the most immediate ELD for each load set for 30mA pick up. </w:t>
      </w:r>
    </w:p>
    <w:p w14:paraId="6D834CCC" w14:textId="68B9B0FC" w:rsidR="00516461" w:rsidRDefault="00681795" w:rsidP="00516461">
      <w:pPr>
        <w:pStyle w:val="Heading4"/>
      </w:pPr>
      <w:r>
        <w:t>Outlets and cord extensions</w:t>
      </w:r>
    </w:p>
    <w:p w14:paraId="36C7A284" w14:textId="0E20D0C0" w:rsidR="00CF6ED0" w:rsidRDefault="00162C50" w:rsidP="00CF6ED0">
      <w:r>
        <w:t xml:space="preserve">The outlets must be rated for desired application as per section </w:t>
      </w:r>
      <w:r w:rsidR="00D36976">
        <w:t>5</w:t>
      </w:r>
      <w:r>
        <w:t>.2.1. They must have relevant RCD protection and overload protection</w:t>
      </w:r>
      <w:r w:rsidR="00D36976">
        <w:t xml:space="preserve"> as per </w:t>
      </w:r>
      <w:r w:rsidR="00125D30">
        <w:t>sections 5.2.2.4 or 5.2.2.5</w:t>
      </w:r>
    </w:p>
    <w:p w14:paraId="5CD1E06B" w14:textId="7CF34DAF" w:rsidR="00162C50" w:rsidRDefault="00162C50" w:rsidP="00CF6ED0">
      <w:r>
        <w:t>Overload protection and RCD device should be capable of breaking all phases including</w:t>
      </w:r>
      <w:r w:rsidR="002B5D87">
        <w:t xml:space="preserve"> the</w:t>
      </w:r>
      <w:r>
        <w:t xml:space="preserve"> neutral. </w:t>
      </w:r>
    </w:p>
    <w:p w14:paraId="7C91736E" w14:textId="712A0652" w:rsidR="00162C50" w:rsidRDefault="00162C50" w:rsidP="00CF6ED0">
      <w:r>
        <w:t>Single phase outlets: Must be 3 pin flat type as per AS 3112 in 10A or 15A</w:t>
      </w:r>
      <w:r w:rsidR="00BE71BF">
        <w:t xml:space="preserve"> rated outlets</w:t>
      </w:r>
      <w:r>
        <w:t>.</w:t>
      </w:r>
    </w:p>
    <w:p w14:paraId="787C286C" w14:textId="1702D476" w:rsidR="00162C50" w:rsidRDefault="00162C50" w:rsidP="00CF6ED0">
      <w:r>
        <w:t xml:space="preserve">Single phase or multi-phase where generating set is over 2.5kW </w:t>
      </w:r>
      <w:r w:rsidR="00125D30">
        <w:t>shall</w:t>
      </w:r>
      <w:r>
        <w:t xml:space="preserve"> be in accordance of AS 3123 round </w:t>
      </w:r>
      <w:proofErr w:type="gramStart"/>
      <w:r>
        <w:t>pin</w:t>
      </w:r>
      <w:proofErr w:type="gramEnd"/>
      <w:r>
        <w:t xml:space="preserve"> when supply is greater than 15A.</w:t>
      </w:r>
      <w:r w:rsidR="00EE1B1C">
        <w:t xml:space="preserve"> The model and design of outlet shall suit the application of the generator as per Section </w:t>
      </w:r>
      <w:r w:rsidR="00D36976">
        <w:t>5</w:t>
      </w:r>
      <w:r w:rsidR="00EE1B1C">
        <w:t>.2.1.</w:t>
      </w:r>
    </w:p>
    <w:p w14:paraId="70B3B62C" w14:textId="35C3DBA5" w:rsidR="00162C50" w:rsidRDefault="00162C50" w:rsidP="00CF6ED0">
      <w:r>
        <w:t xml:space="preserve">Heavy duty cords may be used as extension </w:t>
      </w:r>
      <w:r w:rsidR="007F366A">
        <w:t>where they</w:t>
      </w:r>
      <w:r>
        <w:t xml:space="preserve"> are rated adequately for</w:t>
      </w:r>
      <w:r w:rsidR="007F366A">
        <w:t xml:space="preserve"> the</w:t>
      </w:r>
      <w:r>
        <w:t xml:space="preserve"> generator supply. </w:t>
      </w:r>
    </w:p>
    <w:p w14:paraId="35CE2002" w14:textId="40F6E513" w:rsidR="00317A72" w:rsidRPr="00CF6ED0" w:rsidRDefault="00317A72" w:rsidP="00CF6ED0">
      <w:r>
        <w:lastRenderedPageBreak/>
        <w:t xml:space="preserve">Earth connection from each outlet shall be connected to the generator common equipotential bonding system. </w:t>
      </w:r>
    </w:p>
    <w:p w14:paraId="245E5E06" w14:textId="77777777" w:rsidR="00854C60" w:rsidRPr="0092464F" w:rsidRDefault="00854C60" w:rsidP="00D36976">
      <w:pPr>
        <w:pStyle w:val="Heading4"/>
      </w:pPr>
      <w:r>
        <w:t xml:space="preserve">Batteries </w:t>
      </w:r>
    </w:p>
    <w:p w14:paraId="5349DA08" w14:textId="6C4FB661" w:rsidR="00854C60" w:rsidRDefault="00854C60" w:rsidP="00854C60">
      <w:pPr>
        <w:tabs>
          <w:tab w:val="clear" w:pos="720"/>
          <w:tab w:val="left" w:pos="360"/>
          <w:tab w:val="left" w:pos="450"/>
        </w:tabs>
      </w:pPr>
      <w:r>
        <w:t xml:space="preserve">Effort should be made to obtain an AGM or VRLA type 12V </w:t>
      </w:r>
      <w:r w:rsidR="00494C0F">
        <w:t>batteries</w:t>
      </w:r>
      <w:r>
        <w:t xml:space="preserve">. The condition of the batteries should be good with no leakages, hissing noises or signs of swelling or obvious damage. </w:t>
      </w:r>
      <w:r w:rsidR="00BE71BF">
        <w:t xml:space="preserve">The battery compartment shall be readily accessible for replacement or jump starting. </w:t>
      </w:r>
    </w:p>
    <w:p w14:paraId="69B80142" w14:textId="55B85D7B" w:rsidR="00681795" w:rsidRDefault="00681795" w:rsidP="00272126">
      <w:pPr>
        <w:pStyle w:val="Heading3"/>
      </w:pPr>
      <w:r>
        <w:t>Performance</w:t>
      </w:r>
      <w:r w:rsidR="000B51CA">
        <w:t>- General</w:t>
      </w:r>
    </w:p>
    <w:p w14:paraId="408EE522" w14:textId="15C2786B" w:rsidR="00681795" w:rsidRDefault="00681795" w:rsidP="00272126">
      <w:pPr>
        <w:pStyle w:val="Heading4"/>
      </w:pPr>
      <w:r>
        <w:t>Rating</w:t>
      </w:r>
    </w:p>
    <w:p w14:paraId="17204C86" w14:textId="67791CEA" w:rsidR="00517E1E" w:rsidRPr="00517E1E" w:rsidRDefault="00517E1E" w:rsidP="00517E1E">
      <w:r>
        <w:t xml:space="preserve">The output rating of the generator should match with </w:t>
      </w:r>
      <w:r w:rsidR="00BE71BF">
        <w:t>its load</w:t>
      </w:r>
      <w:r>
        <w:t xml:space="preserve"> application. At the time of the installation, it should be inspected whether loading capacity is </w:t>
      </w:r>
      <w:r w:rsidR="00BE71BF">
        <w:t>exceeded</w:t>
      </w:r>
      <w:r>
        <w:t xml:space="preserve">, or type of </w:t>
      </w:r>
      <w:r w:rsidR="00494C0F">
        <w:t>load characteristics</w:t>
      </w:r>
      <w:r>
        <w:t xml:space="preserve"> including inductive/capacitive nature, number of phases, voltage</w:t>
      </w:r>
      <w:r w:rsidR="00BE71BF">
        <w:t xml:space="preserve"> or</w:t>
      </w:r>
      <w:r>
        <w:t xml:space="preserve"> frequency </w:t>
      </w:r>
      <w:r w:rsidR="00BE71BF">
        <w:t xml:space="preserve">is </w:t>
      </w:r>
      <w:r>
        <w:t>unsuitable for the generator and vise-versa.</w:t>
      </w:r>
    </w:p>
    <w:p w14:paraId="6BC70DD1" w14:textId="1BDCF3FB" w:rsidR="00681795" w:rsidRDefault="00681795" w:rsidP="00272126">
      <w:pPr>
        <w:pStyle w:val="Heading4"/>
      </w:pPr>
      <w:r>
        <w:t>Speed governance</w:t>
      </w:r>
      <w:r w:rsidR="006536FF">
        <w:t xml:space="preserve"> (&gt;15kW)</w:t>
      </w:r>
    </w:p>
    <w:p w14:paraId="13DAECC0" w14:textId="62DCA1C1" w:rsidR="00652153" w:rsidRDefault="00517E1E" w:rsidP="00517E1E">
      <w:r>
        <w:t>Generators with load capacity higher than 15kW should have speed governance capability.</w:t>
      </w:r>
      <w:r w:rsidR="00652153">
        <w:t xml:space="preserve"> Refer OEM technical specification to verify that speed governance parameters meet requirements of table below. </w:t>
      </w:r>
    </w:p>
    <w:p w14:paraId="0D95D0EA" w14:textId="77777777" w:rsidR="00652153" w:rsidRDefault="00652153" w:rsidP="00652153">
      <w:pPr>
        <w:keepNext/>
      </w:pPr>
      <w:r>
        <w:rPr>
          <w:noProof/>
        </w:rPr>
        <w:drawing>
          <wp:inline distT="0" distB="0" distL="0" distR="0" wp14:anchorId="47F082D0" wp14:editId="1DB14E09">
            <wp:extent cx="6172200" cy="2320925"/>
            <wp:effectExtent l="0" t="0" r="0" b="317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72200" cy="2320925"/>
                    </a:xfrm>
                    <a:prstGeom prst="rect">
                      <a:avLst/>
                    </a:prstGeom>
                  </pic:spPr>
                </pic:pic>
              </a:graphicData>
            </a:graphic>
          </wp:inline>
        </w:drawing>
      </w:r>
    </w:p>
    <w:p w14:paraId="477C5CCD" w14:textId="63107084" w:rsidR="00652153" w:rsidRPr="00652153" w:rsidRDefault="00652153" w:rsidP="00652153">
      <w:pPr>
        <w:pStyle w:val="Caption"/>
        <w:jc w:val="center"/>
        <w:rPr>
          <w:i w:val="0"/>
          <w:color w:val="auto"/>
        </w:rPr>
      </w:pPr>
      <w:r w:rsidRPr="00652153">
        <w:rPr>
          <w:i w:val="0"/>
          <w:color w:val="auto"/>
        </w:rPr>
        <w:t xml:space="preserve">Table </w:t>
      </w:r>
      <w:r w:rsidRPr="00652153">
        <w:rPr>
          <w:i w:val="0"/>
          <w:color w:val="auto"/>
        </w:rPr>
        <w:fldChar w:fldCharType="begin"/>
      </w:r>
      <w:r w:rsidRPr="00652153">
        <w:rPr>
          <w:i w:val="0"/>
          <w:color w:val="auto"/>
        </w:rPr>
        <w:instrText xml:space="preserve"> SEQ Table \* ARABIC </w:instrText>
      </w:r>
      <w:r w:rsidRPr="00652153">
        <w:rPr>
          <w:i w:val="0"/>
          <w:color w:val="auto"/>
        </w:rPr>
        <w:fldChar w:fldCharType="separate"/>
      </w:r>
      <w:r w:rsidRPr="00652153">
        <w:rPr>
          <w:i w:val="0"/>
          <w:noProof/>
          <w:color w:val="auto"/>
        </w:rPr>
        <w:t>1</w:t>
      </w:r>
      <w:r w:rsidRPr="00652153">
        <w:rPr>
          <w:i w:val="0"/>
          <w:color w:val="auto"/>
        </w:rPr>
        <w:fldChar w:fldCharType="end"/>
      </w:r>
      <w:r w:rsidRPr="00652153">
        <w:rPr>
          <w:i w:val="0"/>
          <w:color w:val="auto"/>
        </w:rPr>
        <w:t>: AS 3010:2017 Table D2 Speed governance requirement</w:t>
      </w:r>
    </w:p>
    <w:p w14:paraId="0688AFDD" w14:textId="0F3C0B9A" w:rsidR="00517E1E" w:rsidRPr="00517E1E" w:rsidRDefault="00517E1E" w:rsidP="00517E1E">
      <w:r>
        <w:t xml:space="preserve"> </w:t>
      </w:r>
    </w:p>
    <w:p w14:paraId="557C64B9" w14:textId="67F0A49A" w:rsidR="006536FF" w:rsidRDefault="00354EA6" w:rsidP="00272126">
      <w:pPr>
        <w:pStyle w:val="Heading4"/>
      </w:pPr>
      <w:r>
        <w:t>Non-emergency s</w:t>
      </w:r>
      <w:r w:rsidR="006536FF">
        <w:t>hutdown facilities</w:t>
      </w:r>
    </w:p>
    <w:p w14:paraId="34FE77F7" w14:textId="0E5863FB" w:rsidR="00652153" w:rsidRPr="00652153" w:rsidRDefault="00652153" w:rsidP="00652153">
      <w:r>
        <w:t xml:space="preserve">The local control panel shall provide appropriate shutdown protection. </w:t>
      </w:r>
      <w:r w:rsidR="00494C0F">
        <w:t>The control panel shall be easily accessible, and ‘how to operate’ instructions must be included in the Operator Instructions Manual. The shutdown facility</w:t>
      </w:r>
      <w:r w:rsidR="00354EA6">
        <w:t xml:space="preserve"> shall operate independent of speed governor. It should have</w:t>
      </w:r>
      <w:r w:rsidR="0095355D">
        <w:t xml:space="preserve"> the</w:t>
      </w:r>
      <w:r w:rsidR="00354EA6">
        <w:t xml:space="preserve"> capability to initiate an immediate shutdown</w:t>
      </w:r>
      <w:r w:rsidR="00942411">
        <w:t>.</w:t>
      </w:r>
      <w:r w:rsidR="00854C60">
        <w:t xml:space="preserve"> This may</w:t>
      </w:r>
      <w:r w:rsidR="00494C0F">
        <w:t xml:space="preserve"> be achieved by</w:t>
      </w:r>
      <w:r w:rsidR="00854C60">
        <w:t xml:space="preserve"> either cutoff air intake or shutoff fuel solenoid. </w:t>
      </w:r>
    </w:p>
    <w:p w14:paraId="7806F787" w14:textId="7000499B" w:rsidR="006536FF" w:rsidRDefault="0095355D" w:rsidP="00652153">
      <w:pPr>
        <w:tabs>
          <w:tab w:val="clear" w:pos="720"/>
          <w:tab w:val="left" w:pos="360"/>
          <w:tab w:val="left" w:pos="450"/>
        </w:tabs>
      </w:pPr>
      <w:r>
        <w:t xml:space="preserve">For generators </w:t>
      </w:r>
      <w:r w:rsidR="00BE71BF">
        <w:t xml:space="preserve">that can supply over </w:t>
      </w:r>
      <w:r>
        <w:t>15kW shall have automatic shutdown facilities for:</w:t>
      </w:r>
    </w:p>
    <w:p w14:paraId="68876539" w14:textId="3392341E" w:rsidR="0095355D" w:rsidRDefault="0095355D" w:rsidP="001972EC">
      <w:pPr>
        <w:pStyle w:val="ListParagraph"/>
        <w:numPr>
          <w:ilvl w:val="0"/>
          <w:numId w:val="13"/>
        </w:numPr>
        <w:tabs>
          <w:tab w:val="clear" w:pos="720"/>
          <w:tab w:val="left" w:pos="360"/>
          <w:tab w:val="left" w:pos="450"/>
        </w:tabs>
      </w:pPr>
      <w:r>
        <w:t>Low lubricating-oil pressure</w:t>
      </w:r>
    </w:p>
    <w:p w14:paraId="0AE62C42" w14:textId="1D75E8B4" w:rsidR="0095355D" w:rsidRDefault="0095355D" w:rsidP="001972EC">
      <w:pPr>
        <w:pStyle w:val="ListParagraph"/>
        <w:numPr>
          <w:ilvl w:val="0"/>
          <w:numId w:val="13"/>
        </w:numPr>
        <w:tabs>
          <w:tab w:val="clear" w:pos="720"/>
          <w:tab w:val="left" w:pos="360"/>
          <w:tab w:val="left" w:pos="450"/>
        </w:tabs>
      </w:pPr>
      <w:r>
        <w:t>High coolant temperature (Defined by OEM)</w:t>
      </w:r>
    </w:p>
    <w:p w14:paraId="4F6D0BF2" w14:textId="06FAD70B" w:rsidR="0095355D" w:rsidRDefault="0095355D" w:rsidP="001972EC">
      <w:pPr>
        <w:pStyle w:val="ListParagraph"/>
        <w:numPr>
          <w:ilvl w:val="0"/>
          <w:numId w:val="13"/>
        </w:numPr>
        <w:tabs>
          <w:tab w:val="clear" w:pos="720"/>
          <w:tab w:val="left" w:pos="360"/>
          <w:tab w:val="left" w:pos="450"/>
        </w:tabs>
      </w:pPr>
      <w:r>
        <w:t>An overspeed of 25% against rated rpm</w:t>
      </w:r>
    </w:p>
    <w:p w14:paraId="6018730C" w14:textId="3A7FB7FD" w:rsidR="009E2DE9" w:rsidRDefault="009E2DE9">
      <w:pPr>
        <w:pStyle w:val="Heading4"/>
      </w:pPr>
      <w:r>
        <w:t>Voltage regulation</w:t>
      </w:r>
    </w:p>
    <w:p w14:paraId="50C22798" w14:textId="64232100" w:rsidR="009E2DE9" w:rsidRPr="009E2DE9" w:rsidRDefault="009E2DE9" w:rsidP="009E2DE9">
      <w:r>
        <w:t xml:space="preserve">The generator output shall regulate voltage within </w:t>
      </w:r>
      <m:oMath>
        <m:r>
          <w:rPr>
            <w:rFonts w:ascii="Cambria Math" w:hAnsi="Cambria Math"/>
          </w:rPr>
          <m:t>±</m:t>
        </m:r>
      </m:oMath>
      <w:r>
        <w:t xml:space="preserve">5% of rated voltage in steady stage conditions between no-load and rated load. A test shall be done in no-loaded condition to verify that output voltage meets this requirement. </w:t>
      </w:r>
    </w:p>
    <w:p w14:paraId="4F5DF507" w14:textId="32B5EF31" w:rsidR="00681795" w:rsidRDefault="00681795" w:rsidP="00DD78D5">
      <w:pPr>
        <w:pStyle w:val="Heading3"/>
      </w:pPr>
      <w:r>
        <w:lastRenderedPageBreak/>
        <w:t>Mechanical protection</w:t>
      </w:r>
    </w:p>
    <w:p w14:paraId="112EA572" w14:textId="3E60729B" w:rsidR="009E2DE9" w:rsidRDefault="00B52103" w:rsidP="00DD78D5">
      <w:pPr>
        <w:pStyle w:val="Heading4"/>
      </w:pPr>
      <w:r>
        <w:t>Design and construction</w:t>
      </w:r>
    </w:p>
    <w:p w14:paraId="79E22297" w14:textId="7CB7F738" w:rsidR="00B52103" w:rsidRPr="00B52103" w:rsidRDefault="00B52103" w:rsidP="00B52103">
      <w:r>
        <w:t>The generating set shall be constructed as a singular unit where all parts including the fuel tank, radiators or any associated auxiliary devices shall be common mounted</w:t>
      </w:r>
      <w:r w:rsidR="00074B12">
        <w:t>.</w:t>
      </w:r>
      <w:r>
        <w:t xml:space="preserve">  </w:t>
      </w:r>
      <w:r w:rsidR="00074B12">
        <w:t>T</w:t>
      </w:r>
      <w:r>
        <w:t>he ge</w:t>
      </w:r>
      <w:r w:rsidR="00074B12">
        <w:t>nerator shall be able to be</w:t>
      </w:r>
      <w:r>
        <w:t xml:space="preserve"> transported or lifted as a whole set. </w:t>
      </w:r>
    </w:p>
    <w:p w14:paraId="213EA4FA" w14:textId="692B9873" w:rsidR="00074B12" w:rsidRDefault="00B52103" w:rsidP="00B52103">
      <w:pPr>
        <w:pStyle w:val="Heading4"/>
      </w:pPr>
      <w:r>
        <w:t>Access and location of components</w:t>
      </w:r>
    </w:p>
    <w:p w14:paraId="356237DB" w14:textId="48845183" w:rsidR="00074B12" w:rsidRDefault="00074B12" w:rsidP="00B52103">
      <w:r>
        <w:t>The design shall allow provisions for parts that require routine maintenance to be readily accessible without the need of major dismantling.</w:t>
      </w:r>
    </w:p>
    <w:p w14:paraId="3AFDFDE1" w14:textId="3382DD62" w:rsidR="00074B12" w:rsidRDefault="00074B12" w:rsidP="00B52103">
      <w:r>
        <w:t>C</w:t>
      </w:r>
      <w:r w:rsidR="00B52103">
        <w:t xml:space="preserve">omponents of the generator such as rotating devices, fuel tank or </w:t>
      </w:r>
      <w:r w:rsidR="00465328">
        <w:t xml:space="preserve">the </w:t>
      </w:r>
      <w:r w:rsidR="00B52103">
        <w:t xml:space="preserve">exhaust system </w:t>
      </w:r>
      <w:r w:rsidR="00465328">
        <w:t>shall</w:t>
      </w:r>
      <w:r w:rsidR="00B52103">
        <w:t xml:space="preserve"> be built in a way it allows reasonable access for routine maintenance whilst avoiding any hazardous situations. </w:t>
      </w:r>
      <w:r w:rsidR="00465328">
        <w:t>Any hazardous item or part that may be accessed during maintenance shall be provided with adequate provisions for positive isolation as per section 5.2.5.1.</w:t>
      </w:r>
    </w:p>
    <w:p w14:paraId="537871FC" w14:textId="3E30C6A3" w:rsidR="00681795" w:rsidRDefault="00681795" w:rsidP="00DD78D5">
      <w:pPr>
        <w:pStyle w:val="Heading4"/>
      </w:pPr>
      <w:r>
        <w:t>Temperature management</w:t>
      </w:r>
      <w:r w:rsidR="005F6508">
        <w:t xml:space="preserve"> and thermal safety</w:t>
      </w:r>
    </w:p>
    <w:p w14:paraId="0E4186EB" w14:textId="3E73C4F4" w:rsidR="005F6508" w:rsidRPr="00B52103" w:rsidRDefault="00B52103" w:rsidP="00B52103">
      <w:r>
        <w:t xml:space="preserve">At any given moment surface temperature of any part of the generator shall not exceed </w:t>
      </w:r>
      <w:r w:rsidR="003A52D2">
        <w:t>100</w:t>
      </w:r>
      <w:r>
        <w:rPr>
          <w:vertAlign w:val="superscript"/>
        </w:rPr>
        <w:t>o</w:t>
      </w:r>
      <w:r>
        <w:t>C.</w:t>
      </w:r>
      <w:r w:rsidR="005F6508">
        <w:t xml:space="preserve"> Generators that </w:t>
      </w:r>
      <w:r w:rsidR="003A52D2">
        <w:t>have output</w:t>
      </w:r>
      <w:r w:rsidR="005F6508">
        <w:t xml:space="preserve"> exceeding 15kW shall conform to </w:t>
      </w:r>
      <w:r w:rsidR="00D36976">
        <w:t>section</w:t>
      </w:r>
      <w:r w:rsidR="005F6508">
        <w:t xml:space="preserve"> </w:t>
      </w:r>
      <w:r w:rsidR="00D36976">
        <w:t>5</w:t>
      </w:r>
      <w:r w:rsidR="005F6508">
        <w:t>.2.3.3</w:t>
      </w:r>
      <w:r w:rsidR="003A52D2">
        <w:t xml:space="preserve"> Shutdown facilities for overheating</w:t>
      </w:r>
      <w:r w:rsidR="005F6508">
        <w:t>.</w:t>
      </w:r>
    </w:p>
    <w:p w14:paraId="1F5DE26B" w14:textId="2021DD65" w:rsidR="00681795" w:rsidRDefault="00681795" w:rsidP="00DD78D5">
      <w:pPr>
        <w:pStyle w:val="Heading4"/>
      </w:pPr>
      <w:r>
        <w:t>Protection against moving parts</w:t>
      </w:r>
    </w:p>
    <w:p w14:paraId="4E373A97" w14:textId="508DBA18" w:rsidR="003A52D2" w:rsidRPr="003A52D2" w:rsidRDefault="003A52D2" w:rsidP="003A52D2">
      <w:r>
        <w:t>All moving parts that may pose a risk to personnel shall be enclosed by appropriate guarding to prevent inadvertent contact.</w:t>
      </w:r>
      <w:r w:rsidR="00180B21">
        <w:t xml:space="preserve"> </w:t>
      </w:r>
      <w:r w:rsidR="00180B21" w:rsidRPr="00494C0F">
        <w:t>Further, provision shall be given to external rotating parts such as a flywheel to ensure they do not disintegrate during runaway condition.</w:t>
      </w:r>
      <w:r w:rsidR="00180B21">
        <w:t xml:space="preserve"> </w:t>
      </w:r>
    </w:p>
    <w:p w14:paraId="67CFCA0F" w14:textId="6C2429DC" w:rsidR="00681795" w:rsidRDefault="00681795" w:rsidP="00DD78D5">
      <w:pPr>
        <w:pStyle w:val="Heading4"/>
      </w:pPr>
      <w:r>
        <w:t>Fuel management and safety</w:t>
      </w:r>
      <w:r w:rsidR="000B51CA">
        <w:t>. Fuel system, cooling system, lubricating oil</w:t>
      </w:r>
    </w:p>
    <w:p w14:paraId="4266C659" w14:textId="607F4F1F" w:rsidR="00546B41" w:rsidRPr="00546B41" w:rsidRDefault="00546B41" w:rsidP="00546B41">
      <w:r>
        <w:t xml:space="preserve">The fuel piping and tank shall be compatible with the type of fuel used. Galvanized steel shall not be in contact with diesel fuel.  Consideration shall be given to ensure </w:t>
      </w:r>
      <w:r w:rsidR="000E2EDF">
        <w:t xml:space="preserve">fuel does not spill over onto hot or rotating parts even if tank is overfilled.  </w:t>
      </w:r>
    </w:p>
    <w:p w14:paraId="674C786A" w14:textId="0F0B40DD" w:rsidR="00681795" w:rsidRDefault="00681795" w:rsidP="00DD78D5">
      <w:pPr>
        <w:pStyle w:val="Heading4"/>
      </w:pPr>
      <w:r>
        <w:t>Exhaust</w:t>
      </w:r>
    </w:p>
    <w:p w14:paraId="3DC427A4" w14:textId="4061F9DC" w:rsidR="000E2EDF" w:rsidRPr="000E2EDF" w:rsidRDefault="000E2EDF" w:rsidP="000E2EDF">
      <w:r>
        <w:t xml:space="preserve">Arrangement of exhaust shall be in such a manner that it does not cause a hazard to nearby personnel or </w:t>
      </w:r>
      <w:r w:rsidR="0070468C">
        <w:t>render</w:t>
      </w:r>
      <w:r>
        <w:t xml:space="preserve"> it difficult to access generator control panel or emergency push button(s). Exhaust </w:t>
      </w:r>
      <w:r w:rsidR="0070468C">
        <w:t>fumes</w:t>
      </w:r>
      <w:r>
        <w:t xml:space="preserve"> shall be directed away from the fuel supply system and other heat sensitive elements such as electrical wiring. Extra precaution must be taken to ensure there will be no accumulation of exhaust fumes, </w:t>
      </w:r>
      <w:r w:rsidR="0070468C">
        <w:t>especially</w:t>
      </w:r>
      <w:r>
        <w:t xml:space="preserve"> in indoor</w:t>
      </w:r>
      <w:r w:rsidR="0070468C">
        <w:t xml:space="preserve"> or confined space</w:t>
      </w:r>
      <w:r>
        <w:t xml:space="preserve"> arrangements.   </w:t>
      </w:r>
    </w:p>
    <w:p w14:paraId="751D9E38" w14:textId="7DEAA596" w:rsidR="00681795" w:rsidRDefault="00681795" w:rsidP="00DD78D5">
      <w:pPr>
        <w:pStyle w:val="Heading3"/>
      </w:pPr>
      <w:r>
        <w:t>Safety</w:t>
      </w:r>
    </w:p>
    <w:p w14:paraId="45003275" w14:textId="4651026E" w:rsidR="004409B0" w:rsidRDefault="00517E1E" w:rsidP="004409B0">
      <w:pPr>
        <w:pStyle w:val="Heading4"/>
      </w:pPr>
      <w:r>
        <w:t>Isolation</w:t>
      </w:r>
      <w:r w:rsidR="004409B0">
        <w:t>-Generator</w:t>
      </w:r>
    </w:p>
    <w:p w14:paraId="1051279F" w14:textId="5CDF8740" w:rsidR="004409B0" w:rsidRDefault="004409B0" w:rsidP="004409B0">
      <w:r>
        <w:t xml:space="preserve">The generator shall be provided with means </w:t>
      </w:r>
      <w:r w:rsidR="0070468C">
        <w:t>for</w:t>
      </w:r>
      <w:r>
        <w:t xml:space="preserve"> effective isolation that will prevent cranking, starting, and running of the generator set. The isolation device shall be an integrated part of the generator set, clearly marked as ‘Starter Isolation’ or ‘Generator Isolation’</w:t>
      </w:r>
    </w:p>
    <w:p w14:paraId="63CB3B01" w14:textId="5E751AAB" w:rsidR="004409B0" w:rsidRDefault="004409B0" w:rsidP="004409B0">
      <w:r>
        <w:t>A separate battery isolator may be provided that is clearly marked ‘Battery Isolator’</w:t>
      </w:r>
    </w:p>
    <w:p w14:paraId="4D8D0609" w14:textId="773D58B9" w:rsidR="004409B0" w:rsidRDefault="004409B0" w:rsidP="004409B0">
      <w:r>
        <w:t xml:space="preserve">All isolation devices shall have provision to be locked </w:t>
      </w:r>
      <w:r w:rsidR="0041206C">
        <w:t xml:space="preserve">in off position </w:t>
      </w:r>
      <w:bookmarkStart w:id="2" w:name="_GoBack"/>
      <w:bookmarkEnd w:id="2"/>
      <w:r>
        <w:t xml:space="preserve">by a </w:t>
      </w:r>
      <w:r w:rsidRPr="004409B0">
        <w:rPr>
          <w:i/>
        </w:rPr>
        <w:t>personal danger lock</w:t>
      </w:r>
      <w:r>
        <w:t xml:space="preserve">. </w:t>
      </w:r>
    </w:p>
    <w:p w14:paraId="3620156E" w14:textId="6F5371BE" w:rsidR="00942411" w:rsidRDefault="004D597F" w:rsidP="004409B0">
      <w:r>
        <w:t xml:space="preserve">For generators that feed a switchboard or uses fixed wiring (where supply is not limited to pin outlets), there shall be an electrical isolation device that can be locked out in the isolated position. In all other cases there shall </w:t>
      </w:r>
      <w:r>
        <w:lastRenderedPageBreak/>
        <w:t xml:space="preserve">provision for </w:t>
      </w:r>
      <w:r w:rsidR="0070468C">
        <w:t xml:space="preserve">quick </w:t>
      </w:r>
      <w:r>
        <w:t xml:space="preserve">effective isolation method that will provide a visual break and shall provide a minimum of IP2X protection against inadvertent contact to potential live parts. i.e. generator that has only plugged outlets. </w:t>
      </w:r>
    </w:p>
    <w:p w14:paraId="2EAC4CCA" w14:textId="5A52D391" w:rsidR="00517E1E" w:rsidRDefault="00942411" w:rsidP="00DD78D5">
      <w:pPr>
        <w:pStyle w:val="Heading4"/>
      </w:pPr>
      <w:r>
        <w:t>Emergency shutdown and</w:t>
      </w:r>
      <w:r w:rsidR="00517E1E">
        <w:t xml:space="preserve"> cut-off</w:t>
      </w:r>
    </w:p>
    <w:p w14:paraId="12610AE9" w14:textId="4895454B" w:rsidR="001972EC" w:rsidRDefault="00F12D22" w:rsidP="004D597F">
      <w:r>
        <w:t xml:space="preserve">The generator shall have the means for an emergency shutdown when required. The emergency shutdown must be fail-safe in nature and shall be activated by the means of a </w:t>
      </w:r>
      <w:r w:rsidR="001972EC">
        <w:t xml:space="preserve">pressing a </w:t>
      </w:r>
      <w:r>
        <w:t>button. The push button shall be readily accessible to personal and should be clearly marked as ‘Emergency Stop’.</w:t>
      </w:r>
      <w:r w:rsidR="001972EC">
        <w:t xml:space="preserve"> The button shall be latched once activated and shall require deliberate intervention to </w:t>
      </w:r>
      <w:r w:rsidR="0070468C">
        <w:t xml:space="preserve">be </w:t>
      </w:r>
      <w:r w:rsidR="001972EC">
        <w:t>reset.</w:t>
      </w:r>
    </w:p>
    <w:p w14:paraId="368B3E10" w14:textId="4A829702" w:rsidR="004D597F" w:rsidRDefault="00F12D22" w:rsidP="004D597F">
      <w:r>
        <w:t xml:space="preserve">If the emergency push button has been activated, it shall prevent cranking, starting and running of the generator. </w:t>
      </w:r>
    </w:p>
    <w:p w14:paraId="73D091AD" w14:textId="7AEE115D" w:rsidR="00837BCC" w:rsidRPr="00837BCC" w:rsidRDefault="00F12D22" w:rsidP="00837BCC">
      <w:r>
        <w:t xml:space="preserve">Where </w:t>
      </w:r>
      <w:r w:rsidR="0070468C">
        <w:t>air break CBs</w:t>
      </w:r>
      <w:r>
        <w:t xml:space="preserve"> are fitted for outgoing circuits,</w:t>
      </w:r>
      <w:r w:rsidR="00C71683">
        <w:t xml:space="preserve"> activation of the</w:t>
      </w:r>
      <w:r>
        <w:t xml:space="preserve"> emergency pushbutton shall trip primary bus feeder to all outgoing circuits</w:t>
      </w:r>
      <w:r w:rsidR="001F21EA">
        <w:t xml:space="preserve"> as minimum</w:t>
      </w:r>
      <w:r>
        <w:t>.</w:t>
      </w:r>
    </w:p>
    <w:p w14:paraId="038304FE" w14:textId="51F1E92A" w:rsidR="002D6EA7" w:rsidRDefault="002D6EA7">
      <w:pPr>
        <w:pStyle w:val="Heading4"/>
      </w:pPr>
      <w:r>
        <w:t>Fire Safety</w:t>
      </w:r>
    </w:p>
    <w:p w14:paraId="2D883386" w14:textId="596ABEF7" w:rsidR="00BF4EF7" w:rsidRDefault="002D6EA7" w:rsidP="002D6EA7">
      <w:r>
        <w:t>Appropriate fire safety measures must be taken.</w:t>
      </w:r>
      <w:r w:rsidR="006941B6">
        <w:t xml:space="preserve"> </w:t>
      </w:r>
      <w:r w:rsidR="00BF4EF7">
        <w:t xml:space="preserve">Location of installation should be free </w:t>
      </w:r>
      <w:r w:rsidR="0070468C">
        <w:t>of</w:t>
      </w:r>
      <w:r w:rsidR="00BF4EF7">
        <w:t xml:space="preserve"> material that may combust or prolong the duration of a fire. </w:t>
      </w:r>
    </w:p>
    <w:p w14:paraId="488AC022" w14:textId="5E2E6FF1" w:rsidR="002D6EA7" w:rsidRPr="002D6EA7" w:rsidRDefault="002D6EA7" w:rsidP="002D6EA7">
      <w:r>
        <w:t xml:space="preserve">As a minimum </w:t>
      </w:r>
      <w:r w:rsidR="00BF4EF7">
        <w:t>one</w:t>
      </w:r>
      <w:r>
        <w:t xml:space="preserve"> 9kg AB(E)</w:t>
      </w:r>
      <w:r w:rsidR="00BF4EF7">
        <w:t xml:space="preserve"> dry chemical powder type Fire Extinguisher must be available within 5m of the installation. The fire extinguisher shall be tested every 6 months and pressure levels maintained. The fire fighting equipment must be clearly marked with appropriate signage. </w:t>
      </w:r>
    </w:p>
    <w:p w14:paraId="5F3D0B3E" w14:textId="1033E44F" w:rsidR="000B51CA" w:rsidRDefault="000B51CA" w:rsidP="00DD78D5">
      <w:pPr>
        <w:pStyle w:val="Heading4"/>
      </w:pPr>
      <w:r>
        <w:t>Signage and markings</w:t>
      </w:r>
    </w:p>
    <w:p w14:paraId="31CA6153" w14:textId="02C78732" w:rsidR="00837BCC" w:rsidRDefault="001F21EA" w:rsidP="00837BCC">
      <w:r>
        <w:t>The generator shall have a permanently installed and legibly marked nameplate that contains the following information.</w:t>
      </w:r>
    </w:p>
    <w:p w14:paraId="521D73AE" w14:textId="79EFF864" w:rsidR="001F21EA" w:rsidRDefault="001F21EA" w:rsidP="001F21EA">
      <w:pPr>
        <w:pStyle w:val="ListParagraph"/>
        <w:numPr>
          <w:ilvl w:val="0"/>
          <w:numId w:val="15"/>
        </w:numPr>
      </w:pPr>
      <w:r>
        <w:t>Name of the manufacturer</w:t>
      </w:r>
    </w:p>
    <w:p w14:paraId="06191642" w14:textId="43581095" w:rsidR="001F21EA" w:rsidRDefault="001F21EA" w:rsidP="001F21EA">
      <w:pPr>
        <w:pStyle w:val="ListParagraph"/>
        <w:numPr>
          <w:ilvl w:val="0"/>
          <w:numId w:val="15"/>
        </w:numPr>
      </w:pPr>
      <w:r>
        <w:t xml:space="preserve">Model number </w:t>
      </w:r>
    </w:p>
    <w:p w14:paraId="24810ADC" w14:textId="62874884" w:rsidR="001F21EA" w:rsidRDefault="001F21EA" w:rsidP="001F21EA">
      <w:pPr>
        <w:pStyle w:val="ListParagraph"/>
        <w:numPr>
          <w:ilvl w:val="0"/>
          <w:numId w:val="15"/>
        </w:numPr>
      </w:pPr>
      <w:r>
        <w:t>Engine/alternator serial number</w:t>
      </w:r>
    </w:p>
    <w:p w14:paraId="63242134" w14:textId="25CD21DE" w:rsidR="001F21EA" w:rsidRDefault="001F21EA" w:rsidP="001F21EA">
      <w:pPr>
        <w:pStyle w:val="ListParagraph"/>
        <w:numPr>
          <w:ilvl w:val="0"/>
          <w:numId w:val="15"/>
        </w:numPr>
      </w:pPr>
      <w:r>
        <w:t>Type of fuel</w:t>
      </w:r>
    </w:p>
    <w:p w14:paraId="4998F9D8" w14:textId="56523A32" w:rsidR="001F21EA" w:rsidRDefault="001F21EA" w:rsidP="001F21EA">
      <w:pPr>
        <w:pStyle w:val="ListParagraph"/>
        <w:numPr>
          <w:ilvl w:val="0"/>
          <w:numId w:val="15"/>
        </w:numPr>
      </w:pPr>
      <w:r>
        <w:t>Rated output in watts/kilowatts</w:t>
      </w:r>
    </w:p>
    <w:p w14:paraId="2B8F81AF" w14:textId="6C70D10F" w:rsidR="001F21EA" w:rsidRDefault="001F21EA" w:rsidP="001F21EA">
      <w:pPr>
        <w:pStyle w:val="ListParagraph"/>
        <w:numPr>
          <w:ilvl w:val="0"/>
          <w:numId w:val="15"/>
        </w:numPr>
      </w:pPr>
      <w:r>
        <w:t>Rated voltage and frequency</w:t>
      </w:r>
    </w:p>
    <w:p w14:paraId="3F1110EE" w14:textId="4D23DF30" w:rsidR="001F21EA" w:rsidRDefault="001F21EA" w:rsidP="001F21EA">
      <w:pPr>
        <w:pStyle w:val="ListParagraph"/>
        <w:numPr>
          <w:ilvl w:val="0"/>
          <w:numId w:val="15"/>
        </w:numPr>
      </w:pPr>
      <w:r>
        <w:t>IP classification of enclosure (where applicable)</w:t>
      </w:r>
    </w:p>
    <w:p w14:paraId="258C6321" w14:textId="0F992472" w:rsidR="001F21EA" w:rsidRDefault="001F21EA" w:rsidP="001F21EA">
      <w:r>
        <w:t xml:space="preserve">The frame must have a clearly marked earthing symbol or labelled ‘Frame’ earthing connection point. </w:t>
      </w:r>
    </w:p>
    <w:p w14:paraId="0117F279" w14:textId="1730EAA4" w:rsidR="001F21EA" w:rsidRDefault="001F21EA" w:rsidP="001F21EA">
      <w:r>
        <w:t>If the generator is intended for undercover usage only, it shall be marked ‘NOT WEATHERPROOF’</w:t>
      </w:r>
    </w:p>
    <w:p w14:paraId="768830FD" w14:textId="61CC5FE1" w:rsidR="001F21EA" w:rsidRDefault="001F21EA" w:rsidP="001F21EA">
      <w:r>
        <w:t>A warning sign shall indicate requirement of a licensed electrical personnel for installation as such:</w:t>
      </w:r>
    </w:p>
    <w:p w14:paraId="1E0B6448" w14:textId="4139B296" w:rsidR="001F21EA" w:rsidRPr="009645E6" w:rsidRDefault="001F21EA" w:rsidP="001F21EA">
      <w:pPr>
        <w:jc w:val="center"/>
        <w:rPr>
          <w:b/>
        </w:rPr>
      </w:pPr>
      <w:r w:rsidRPr="009645E6">
        <w:rPr>
          <w:b/>
        </w:rPr>
        <w:t>WARNING</w:t>
      </w:r>
    </w:p>
    <w:p w14:paraId="021D0B0E" w14:textId="3612D0A9" w:rsidR="001F21EA" w:rsidRDefault="001F21EA" w:rsidP="001F21EA">
      <w:pPr>
        <w:jc w:val="center"/>
      </w:pPr>
      <w:r>
        <w:t>THE OUTPUT OF THIS GENERATING SET IS POTENTIALLY</w:t>
      </w:r>
    </w:p>
    <w:p w14:paraId="2F3DCD83" w14:textId="77777777" w:rsidR="001F21EA" w:rsidRDefault="001F21EA" w:rsidP="001F21EA">
      <w:pPr>
        <w:jc w:val="center"/>
      </w:pPr>
      <w:r>
        <w:t>LETHAL. THE SET SHALL NOT BE CONNECTED TO A FIXED ELECTRICAL</w:t>
      </w:r>
    </w:p>
    <w:p w14:paraId="7101E19F" w14:textId="77777777" w:rsidR="001F21EA" w:rsidRDefault="001F21EA" w:rsidP="001F21EA">
      <w:pPr>
        <w:jc w:val="center"/>
      </w:pPr>
      <w:r>
        <w:t>INSTALLATION BY FIXED WIRING EXCEPT BY AN APPROPRIATELY</w:t>
      </w:r>
    </w:p>
    <w:p w14:paraId="07934D0C" w14:textId="398F1587" w:rsidR="001F21EA" w:rsidRDefault="001F21EA" w:rsidP="001F21EA">
      <w:pPr>
        <w:jc w:val="center"/>
      </w:pPr>
      <w:r>
        <w:t>LICENSED PERSON. SEE INSTRUCTION MANUAL.</w:t>
      </w:r>
    </w:p>
    <w:p w14:paraId="39C0814D" w14:textId="20643989" w:rsidR="001F21EA" w:rsidRDefault="001F21EA" w:rsidP="001F21EA">
      <w:r>
        <w:t>All LV electrical enclosures</w:t>
      </w:r>
      <w:r w:rsidR="002D6EA7">
        <w:t xml:space="preserve"> or guarded/covered live parts</w:t>
      </w:r>
      <w:r>
        <w:t xml:space="preserve"> must be marked </w:t>
      </w:r>
      <w:r w:rsidR="002D6EA7">
        <w:t>with appropriate</w:t>
      </w:r>
      <w:r>
        <w:t xml:space="preserve"> voltage and isolation requirement signs. </w:t>
      </w:r>
      <w:r w:rsidR="009645E6">
        <w:t xml:space="preserve">i.e.  </w:t>
      </w:r>
    </w:p>
    <w:p w14:paraId="191C703C" w14:textId="5E44E133" w:rsidR="009645E6" w:rsidRPr="009645E6" w:rsidRDefault="009645E6" w:rsidP="009645E6">
      <w:pPr>
        <w:jc w:val="center"/>
        <w:rPr>
          <w:b/>
        </w:rPr>
      </w:pPr>
      <w:r w:rsidRPr="009645E6">
        <w:rPr>
          <w:b/>
        </w:rPr>
        <w:lastRenderedPageBreak/>
        <w:t>WARNING</w:t>
      </w:r>
    </w:p>
    <w:p w14:paraId="342FF55C" w14:textId="3F1B1E54" w:rsidR="009645E6" w:rsidRDefault="009645E6" w:rsidP="009645E6">
      <w:pPr>
        <w:jc w:val="center"/>
      </w:pPr>
      <w:r>
        <w:t>240VAC</w:t>
      </w:r>
      <w:r>
        <w:br/>
        <w:t>Isolate elsewhere</w:t>
      </w:r>
    </w:p>
    <w:p w14:paraId="34511E43" w14:textId="13314587" w:rsidR="009645E6" w:rsidRDefault="001F579A" w:rsidP="009645E6">
      <w:r>
        <w:t xml:space="preserve">Each outlet shall be clearly marked with its respective voltage. </w:t>
      </w:r>
      <w:r w:rsidR="009645E6">
        <w:t xml:space="preserve">All cable </w:t>
      </w:r>
      <w:proofErr w:type="gramStart"/>
      <w:r w:rsidR="009645E6">
        <w:t>leads</w:t>
      </w:r>
      <w:proofErr w:type="gramEnd"/>
      <w:r w:rsidR="009645E6">
        <w:t xml:space="preserve"> or output cables must be legibly marked with cable numbers as referred to in the generator’s technical manual.</w:t>
      </w:r>
    </w:p>
    <w:p w14:paraId="292B5184" w14:textId="5C0B7294" w:rsidR="00A54348" w:rsidRDefault="00A54348" w:rsidP="009645E6">
      <w:r>
        <w:t xml:space="preserve">Patrol driven engines </w:t>
      </w:r>
      <w:r w:rsidR="00445B8C">
        <w:t xml:space="preserve">shall be marked as below </w:t>
      </w:r>
      <w:r>
        <w:t xml:space="preserve">in a suitable </w:t>
      </w:r>
      <w:proofErr w:type="gramStart"/>
      <w:r>
        <w:t>location</w:t>
      </w:r>
      <w:proofErr w:type="gramEnd"/>
      <w:r>
        <w:t xml:space="preserve"> so an operator would notice during re-fuel.</w:t>
      </w:r>
    </w:p>
    <w:p w14:paraId="545AE17B" w14:textId="2EC44642" w:rsidR="00A54348" w:rsidRPr="00A54348" w:rsidRDefault="00A54348" w:rsidP="00A54348">
      <w:pPr>
        <w:jc w:val="center"/>
        <w:rPr>
          <w:b/>
        </w:rPr>
      </w:pPr>
      <w:r w:rsidRPr="00A54348">
        <w:rPr>
          <w:b/>
        </w:rPr>
        <w:t>WARNING</w:t>
      </w:r>
    </w:p>
    <w:p w14:paraId="7615C753" w14:textId="46ABD06E" w:rsidR="00A54348" w:rsidRDefault="00A54348" w:rsidP="00A54348">
      <w:pPr>
        <w:tabs>
          <w:tab w:val="clear" w:pos="720"/>
        </w:tabs>
        <w:autoSpaceDE w:val="0"/>
        <w:autoSpaceDN w:val="0"/>
        <w:adjustRightInd w:val="0"/>
        <w:spacing w:after="0" w:line="240" w:lineRule="auto"/>
        <w:jc w:val="center"/>
      </w:pPr>
      <w:r>
        <w:rPr>
          <w:rFonts w:ascii="TimesNewRomanPSMT" w:eastAsia="TimesNewRomanPSMT" w:hAnsiTheme="minorHAnsi" w:cs="TimesNewRomanPSMT"/>
        </w:rPr>
        <w:t>DO NOT REFUEL WHILE ENGINE IS RUNNING</w:t>
      </w:r>
    </w:p>
    <w:p w14:paraId="0703DE3B" w14:textId="77777777" w:rsidR="00A54348" w:rsidRDefault="00A54348" w:rsidP="009645E6"/>
    <w:p w14:paraId="27D7C6BC" w14:textId="4202C004" w:rsidR="0034636C" w:rsidRDefault="0034636C" w:rsidP="009645E6">
      <w:r>
        <w:t>Other general use signage</w:t>
      </w:r>
      <w:r w:rsidR="00445B8C">
        <w:t xml:space="preserve"> in similar wording</w:t>
      </w:r>
      <w:r w:rsidR="00D20CDC">
        <w:t xml:space="preserve"> (If not stated in the instructions manual)</w:t>
      </w:r>
      <w:r>
        <w:t>:</w:t>
      </w:r>
    </w:p>
    <w:p w14:paraId="66DB4A40" w14:textId="601B1442" w:rsidR="0034636C" w:rsidRDefault="0034636C" w:rsidP="0034636C">
      <w:pPr>
        <w:pStyle w:val="ListParagraph"/>
        <w:numPr>
          <w:ilvl w:val="0"/>
          <w:numId w:val="20"/>
        </w:numPr>
        <w:ind w:left="810" w:hanging="90"/>
      </w:pPr>
      <w:r>
        <w:t xml:space="preserve"> DO NOT OPERATE IN A HAZARDOUS LOCATION, E.G. WHERE THERE MAY BE A RISK OF EXPLOSION OF</w:t>
      </w:r>
      <w:r w:rsidR="00A54348">
        <w:t xml:space="preserve"> </w:t>
      </w:r>
      <w:r>
        <w:t>PETROL FUMES, LEAKING GAS OR EXPLOSIVE DUSTS</w:t>
      </w:r>
    </w:p>
    <w:p w14:paraId="25F713FE" w14:textId="30FA5C57" w:rsidR="0034636C" w:rsidRDefault="00A54348" w:rsidP="00A54348">
      <w:pPr>
        <w:pStyle w:val="ListParagraph"/>
        <w:numPr>
          <w:ilvl w:val="0"/>
          <w:numId w:val="20"/>
        </w:numPr>
        <w:ind w:left="720" w:firstLine="0"/>
      </w:pPr>
      <w:r>
        <w:t>DO NOT OPERATE IN A CONFINED AREA WHERE EXHAUST GASES, SMOKE OR FUMES COULD REACH DANGEROUS CONCENTRATIONS</w:t>
      </w:r>
    </w:p>
    <w:p w14:paraId="1B456B4A" w14:textId="5252FFF5" w:rsidR="002D6EA7" w:rsidRDefault="002D6EA7" w:rsidP="009645E6">
      <w:r>
        <w:t xml:space="preserve">Any other required signs such as </w:t>
      </w:r>
    </w:p>
    <w:p w14:paraId="54F63DC7" w14:textId="367A5F28" w:rsidR="002D6EA7" w:rsidRDefault="002D6EA7" w:rsidP="002D6EA7">
      <w:pPr>
        <w:pStyle w:val="ListParagraph"/>
        <w:numPr>
          <w:ilvl w:val="0"/>
          <w:numId w:val="18"/>
        </w:numPr>
      </w:pPr>
      <w:r>
        <w:t>Noise Warning (If noise level exceeds 85dB in normal operating conditions)</w:t>
      </w:r>
    </w:p>
    <w:p w14:paraId="0FA13FCD" w14:textId="6D818D51" w:rsidR="002D6EA7" w:rsidRDefault="002D6EA7" w:rsidP="002D6EA7">
      <w:pPr>
        <w:pStyle w:val="ListParagraph"/>
        <w:numPr>
          <w:ilvl w:val="0"/>
          <w:numId w:val="18"/>
        </w:numPr>
      </w:pPr>
      <w:r>
        <w:t>Fuel tank</w:t>
      </w:r>
    </w:p>
    <w:p w14:paraId="1E17586F" w14:textId="59F8DD3A" w:rsidR="0034636C" w:rsidRDefault="0034636C" w:rsidP="002D6EA7">
      <w:pPr>
        <w:pStyle w:val="ListParagraph"/>
        <w:numPr>
          <w:ilvl w:val="0"/>
          <w:numId w:val="18"/>
        </w:numPr>
      </w:pPr>
      <w:r>
        <w:t>Pinch points</w:t>
      </w:r>
    </w:p>
    <w:p w14:paraId="3B4BE6CB" w14:textId="362871A5" w:rsidR="00494C0F" w:rsidRDefault="00494C0F" w:rsidP="002D6EA7">
      <w:pPr>
        <w:pStyle w:val="ListParagraph"/>
        <w:numPr>
          <w:ilvl w:val="0"/>
          <w:numId w:val="18"/>
        </w:numPr>
      </w:pPr>
      <w:r>
        <w:t>Hot surfaces</w:t>
      </w:r>
    </w:p>
    <w:p w14:paraId="4689D891" w14:textId="6262897D" w:rsidR="002D6EA7" w:rsidRDefault="002D6EA7" w:rsidP="002D6EA7">
      <w:pPr>
        <w:pStyle w:val="ListParagraph"/>
        <w:numPr>
          <w:ilvl w:val="0"/>
          <w:numId w:val="18"/>
        </w:numPr>
      </w:pPr>
      <w:r>
        <w:t>Fire extinguisher</w:t>
      </w:r>
    </w:p>
    <w:p w14:paraId="794173DF" w14:textId="77777777" w:rsidR="0034636C" w:rsidRPr="00837BCC" w:rsidRDefault="0034636C" w:rsidP="0034636C">
      <w:pPr>
        <w:ind w:left="720"/>
      </w:pPr>
    </w:p>
    <w:p w14:paraId="72EC56E6" w14:textId="07B7F529" w:rsidR="000B51CA" w:rsidRDefault="000B51CA" w:rsidP="00DD78D5">
      <w:pPr>
        <w:pStyle w:val="Heading3"/>
      </w:pPr>
      <w:r>
        <w:t>Documentation</w:t>
      </w:r>
    </w:p>
    <w:p w14:paraId="3744CAAF" w14:textId="22982EDE" w:rsidR="0034636C" w:rsidRPr="0034636C" w:rsidRDefault="0034636C" w:rsidP="0034636C">
      <w:r>
        <w:t>The owner of the equipment must provide</w:t>
      </w:r>
      <w:r w:rsidR="00445B8C">
        <w:t xml:space="preserve"> a</w:t>
      </w:r>
      <w:r>
        <w:t xml:space="preserve"> technical manual, </w:t>
      </w:r>
      <w:r w:rsidR="00445B8C">
        <w:t xml:space="preserve">an </w:t>
      </w:r>
      <w:r>
        <w:t>operator’s instructions manual and updated technical drawings</w:t>
      </w:r>
      <w:r w:rsidR="00CD342A">
        <w:t xml:space="preserve"> </w:t>
      </w:r>
      <w:r w:rsidR="00A54348">
        <w:t xml:space="preserve">(including </w:t>
      </w:r>
      <w:r w:rsidR="00445B8C">
        <w:t xml:space="preserve">site </w:t>
      </w:r>
      <w:r w:rsidR="00A54348">
        <w:t>electrical installation</w:t>
      </w:r>
      <w:r w:rsidR="00445B8C">
        <w:t xml:space="preserve"> where applicable</w:t>
      </w:r>
      <w:r w:rsidR="00A54348">
        <w:t>)</w:t>
      </w:r>
      <w:r>
        <w:t xml:space="preserve">. A copy of these documents must be provided to Field Maintenance Department. Another copy shall be stored appropriately (free from dust, water and sun damage) with the generator set.   </w:t>
      </w:r>
    </w:p>
    <w:p w14:paraId="034D4170" w14:textId="2BDCB7C1" w:rsidR="006D2FE4" w:rsidRDefault="0034636C" w:rsidP="006D2FE4">
      <w:r>
        <w:t>The instructions manual must provide:</w:t>
      </w:r>
    </w:p>
    <w:p w14:paraId="7A73C2E5" w14:textId="77777777" w:rsidR="0034636C" w:rsidRDefault="0034636C" w:rsidP="0034636C">
      <w:pPr>
        <w:pStyle w:val="ListParagraph"/>
        <w:numPr>
          <w:ilvl w:val="0"/>
          <w:numId w:val="19"/>
        </w:numPr>
      </w:pPr>
      <w:r>
        <w:t>Any warnings or safety precautions for starting, normal operation and shut down of generator set.</w:t>
      </w:r>
    </w:p>
    <w:p w14:paraId="2FEC6E15" w14:textId="77777777" w:rsidR="0034636C" w:rsidRDefault="0034636C" w:rsidP="0034636C">
      <w:pPr>
        <w:pStyle w:val="ListParagraph"/>
        <w:numPr>
          <w:ilvl w:val="0"/>
          <w:numId w:val="19"/>
        </w:numPr>
      </w:pPr>
      <w:r>
        <w:t>Step by step instructions for operation of the generator include starting, running and shutdown.</w:t>
      </w:r>
    </w:p>
    <w:p w14:paraId="20FBBA88" w14:textId="52640BA7" w:rsidR="00CD342A" w:rsidRPr="00CD342A" w:rsidRDefault="0034636C" w:rsidP="00CD342A">
      <w:pPr>
        <w:pStyle w:val="ListParagraph"/>
        <w:numPr>
          <w:ilvl w:val="0"/>
          <w:numId w:val="19"/>
        </w:numPr>
      </w:pPr>
      <w:r>
        <w:t xml:space="preserve">OEM contact or support line details.  </w:t>
      </w:r>
    </w:p>
    <w:p w14:paraId="335E9E2C" w14:textId="05229BA2" w:rsidR="00CD342A" w:rsidRDefault="00CD342A" w:rsidP="00CD342A">
      <w:pPr>
        <w:pStyle w:val="Heading3"/>
      </w:pPr>
      <w:r>
        <w:t xml:space="preserve">Post installation and commissioning </w:t>
      </w:r>
    </w:p>
    <w:p w14:paraId="097B8CFB" w14:textId="5DFA32F7" w:rsidR="00CD342A" w:rsidRPr="00CD342A" w:rsidRDefault="00CD342A" w:rsidP="00CD342A">
      <w:r>
        <w:t xml:space="preserve">After all tests and installation requirements has been completed to satisfactory, the specification checklist form must be handed over to EEM for final approval and </w:t>
      </w:r>
      <w:r w:rsidR="00445B8C">
        <w:t xml:space="preserve">obtain </w:t>
      </w:r>
      <w:r>
        <w:t xml:space="preserve">authority to energize. After which a </w:t>
      </w:r>
      <w:r w:rsidR="00B22EE2">
        <w:t xml:space="preserve">maintenance scheme will be set for routine inspection and service. The maintenance requirements are beyond the scope of this specification and therefore shall meet OEM requirements and site regular generator set maintenance scheme.  </w:t>
      </w:r>
    </w:p>
    <w:sectPr w:rsidR="00CD342A" w:rsidRPr="00CD342A" w:rsidSect="009C0631">
      <w:headerReference w:type="default" r:id="rId14"/>
      <w:footerReference w:type="default" r:id="rId15"/>
      <w:headerReference w:type="first" r:id="rId16"/>
      <w:pgSz w:w="11906" w:h="16838" w:code="9"/>
      <w:pgMar w:top="426" w:right="1106" w:bottom="284" w:left="990" w:header="28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tapattu, Dineth" w:date="2019-06-05T15:59:00Z" w:initials="AD">
    <w:p w14:paraId="50C1733C" w14:textId="6013091B" w:rsidR="0028717A" w:rsidRDefault="0028717A">
      <w:pPr>
        <w:pStyle w:val="CommentText"/>
      </w:pPr>
      <w:r>
        <w:rPr>
          <w:rStyle w:val="CommentReference"/>
        </w:rPr>
        <w:annotationRef/>
      </w:r>
      <w:r>
        <w:t>Does all LV cables should go in conduit?</w:t>
      </w:r>
    </w:p>
  </w:comment>
  <w:comment w:id="1" w:author="Atapattu, Dineth" w:date="2019-06-05T16:30:00Z" w:initials="AD">
    <w:p w14:paraId="36ECF382" w14:textId="437D6C7D" w:rsidR="009C0631" w:rsidRDefault="009C0631">
      <w:pPr>
        <w:pStyle w:val="CommentText"/>
      </w:pPr>
      <w:r>
        <w:rPr>
          <w:rStyle w:val="CommentReference"/>
        </w:rPr>
        <w:annotationRef/>
      </w:r>
      <w:r>
        <w:t>Need more information on cable sizing for MEN connections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C1733C" w15:done="0"/>
  <w15:commentEx w15:paraId="36ECF3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C1733C" w16cid:durableId="20A26571"/>
  <w16cid:commentId w16cid:paraId="36ECF382" w16cid:durableId="20A26C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CE29F" w14:textId="77777777" w:rsidR="00846780" w:rsidRDefault="00846780">
      <w:pPr>
        <w:spacing w:after="0" w:line="240" w:lineRule="auto"/>
      </w:pPr>
      <w:r>
        <w:separator/>
      </w:r>
    </w:p>
  </w:endnote>
  <w:endnote w:type="continuationSeparator" w:id="0">
    <w:p w14:paraId="140A3CF3" w14:textId="77777777" w:rsidR="00846780" w:rsidRDefault="00846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1E770" w14:textId="7D0D2C3C" w:rsidR="00846780" w:rsidRPr="00430D49" w:rsidRDefault="00846780">
    <w:pPr>
      <w:pStyle w:val="Footer"/>
      <w:rPr>
        <w:sz w:val="16"/>
        <w:szCs w:val="16"/>
      </w:rPr>
    </w:pPr>
    <w:bookmarkStart w:id="3" w:name="_Hlk9250827"/>
    <w:bookmarkStart w:id="4" w:name="_Hlk9250828"/>
    <w:r>
      <w:rPr>
        <w:sz w:val="16"/>
        <w:szCs w:val="16"/>
      </w:rPr>
      <w:t>Specification: Small portable generators &lt;25kVA</w:t>
    </w:r>
    <w:r w:rsidRPr="00430D49">
      <w:rPr>
        <w:sz w:val="16"/>
        <w:szCs w:val="16"/>
      </w:rPr>
      <w:ptab w:relativeTo="margin" w:alignment="center" w:leader="none"/>
    </w:r>
    <w:r w:rsidRPr="00430D49">
      <w:rPr>
        <w:sz w:val="16"/>
        <w:szCs w:val="16"/>
      </w:rPr>
      <w:t xml:space="preserve">Rev 0 </w:t>
    </w:r>
    <w:r w:rsidRPr="00430D49">
      <w:rPr>
        <w:sz w:val="16"/>
        <w:szCs w:val="16"/>
      </w:rPr>
      <w:ptab w:relativeTo="margin" w:alignment="right" w:leader="none"/>
    </w:r>
    <w:bookmarkEnd w:id="3"/>
    <w:bookmarkEnd w:id="4"/>
    <w:r>
      <w:rPr>
        <w:sz w:val="16"/>
        <w:szCs w:val="16"/>
      </w:rPr>
      <w:t>03/06/19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D6FCF" w14:textId="77777777" w:rsidR="00846780" w:rsidRDefault="00846780">
      <w:pPr>
        <w:spacing w:after="0" w:line="240" w:lineRule="auto"/>
      </w:pPr>
      <w:r>
        <w:separator/>
      </w:r>
    </w:p>
  </w:footnote>
  <w:footnote w:type="continuationSeparator" w:id="0">
    <w:p w14:paraId="76E426FE" w14:textId="77777777" w:rsidR="00846780" w:rsidRDefault="00846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B5BDE" w14:textId="74E5724D" w:rsidR="00846780" w:rsidRDefault="00846780">
    <w:pPr>
      <w:pStyle w:val="Header"/>
    </w:pPr>
    <w:r>
      <w:rPr>
        <w:noProof/>
        <w:sz w:val="20"/>
        <w:lang w:eastAsia="en-AU"/>
      </w:rPr>
      <w:drawing>
        <wp:anchor distT="0" distB="0" distL="114300" distR="114300" simplePos="0" relativeHeight="251661312" behindDoc="0" locked="0" layoutInCell="1" allowOverlap="1" wp14:anchorId="1D33F324" wp14:editId="0EADF3A0">
          <wp:simplePos x="0" y="0"/>
          <wp:positionH relativeFrom="column">
            <wp:posOffset>5598160</wp:posOffset>
          </wp:positionH>
          <wp:positionV relativeFrom="paragraph">
            <wp:posOffset>245415</wp:posOffset>
          </wp:positionV>
          <wp:extent cx="914400" cy="4159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914400" cy="415925"/>
                  </a:xfrm>
                  <a:prstGeom prst="rect">
                    <a:avLst/>
                  </a:prstGeom>
                  <a:noFill/>
                  <a:ln w="9525">
                    <a:noFill/>
                    <a:miter lim="800000"/>
                    <a:headEnd/>
                    <a:tailEnd/>
                  </a:ln>
                </pic:spPr>
              </pic:pic>
            </a:graphicData>
          </a:graphic>
        </wp:anchor>
      </w:drawing>
    </w:r>
    <w:r w:rsidRPr="0088771E">
      <w:rPr>
        <w:noProof/>
      </w:rPr>
      <w:drawing>
        <wp:inline distT="0" distB="0" distL="0" distR="0" wp14:anchorId="0716D3FF" wp14:editId="44B9C59D">
          <wp:extent cx="1916582" cy="626574"/>
          <wp:effectExtent l="0" t="0" r="7620" b="2540"/>
          <wp:docPr id="3" name="Picture 3" descr="Anglo_America_Logo_Top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nglo_America_Logo_Top_Left.jpg"/>
                  <pic:cNvPicPr>
                    <a:picLocks noChangeAspect="1"/>
                  </pic:cNvPicPr>
                </pic:nvPicPr>
                <pic:blipFill>
                  <a:blip r:embed="rId2" cstate="print"/>
                  <a:stretch>
                    <a:fillRect/>
                  </a:stretch>
                </pic:blipFill>
                <pic:spPr>
                  <a:xfrm>
                    <a:off x="0" y="0"/>
                    <a:ext cx="1968321" cy="64348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1D32A" w14:textId="6329D93F" w:rsidR="00846780" w:rsidRDefault="00846780" w:rsidP="00FF61DC">
    <w:pPr>
      <w:pStyle w:val="Header"/>
      <w:tabs>
        <w:tab w:val="clear" w:pos="4680"/>
        <w:tab w:val="clear" w:pos="9360"/>
        <w:tab w:val="left" w:pos="2397"/>
        <w:tab w:val="left" w:pos="8479"/>
      </w:tabs>
      <w:spacing w:after="0" w:line="240" w:lineRule="auto"/>
    </w:pPr>
    <w:r>
      <w:rPr>
        <w:noProof/>
        <w:sz w:val="20"/>
        <w:lang w:eastAsia="en-AU"/>
      </w:rPr>
      <w:drawing>
        <wp:anchor distT="0" distB="0" distL="114300" distR="114300" simplePos="0" relativeHeight="251659264" behindDoc="0" locked="0" layoutInCell="1" allowOverlap="1" wp14:anchorId="6C4D300E" wp14:editId="2C13ACB6">
          <wp:simplePos x="0" y="0"/>
          <wp:positionH relativeFrom="column">
            <wp:posOffset>5690870</wp:posOffset>
          </wp:positionH>
          <wp:positionV relativeFrom="paragraph">
            <wp:posOffset>363576</wp:posOffset>
          </wp:positionV>
          <wp:extent cx="914400" cy="41592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914400" cy="415925"/>
                  </a:xfrm>
                  <a:prstGeom prst="rect">
                    <a:avLst/>
                  </a:prstGeom>
                  <a:noFill/>
                  <a:ln w="9525">
                    <a:noFill/>
                    <a:miter lim="800000"/>
                    <a:headEnd/>
                    <a:tailEnd/>
                  </a:ln>
                </pic:spPr>
              </pic:pic>
            </a:graphicData>
          </a:graphic>
        </wp:anchor>
      </w:drawing>
    </w:r>
    <w:r w:rsidRPr="0088771E">
      <w:rPr>
        <w:noProof/>
      </w:rPr>
      <w:drawing>
        <wp:inline distT="0" distB="0" distL="0" distR="0" wp14:anchorId="075AFB72" wp14:editId="13F9D5BA">
          <wp:extent cx="2425999" cy="793115"/>
          <wp:effectExtent l="0" t="0" r="0" b="6985"/>
          <wp:docPr id="5" name="Picture 5" descr="Anglo_America_Logo_Top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nglo_America_Logo_Top_Left.jpg"/>
                  <pic:cNvPicPr>
                    <a:picLocks noChangeAspect="1"/>
                  </pic:cNvPicPr>
                </pic:nvPicPr>
                <pic:blipFill>
                  <a:blip r:embed="rId2" cstate="print"/>
                  <a:stretch>
                    <a:fillRect/>
                  </a:stretch>
                </pic:blipFill>
                <pic:spPr>
                  <a:xfrm>
                    <a:off x="0" y="0"/>
                    <a:ext cx="2449703" cy="800864"/>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F422416"/>
    <w:lvl w:ilvl="0">
      <w:start w:val="1"/>
      <w:numFmt w:val="decimal"/>
      <w:pStyle w:val="ListNumber5"/>
      <w:lvlText w:val="%1."/>
      <w:lvlJc w:val="left"/>
      <w:pPr>
        <w:tabs>
          <w:tab w:val="num" w:pos="1800"/>
        </w:tabs>
        <w:ind w:left="1800" w:hanging="360"/>
      </w:pPr>
    </w:lvl>
  </w:abstractNum>
  <w:abstractNum w:abstractNumId="1" w15:restartNumberingAfterBreak="0">
    <w:nsid w:val="09275CA8"/>
    <w:multiLevelType w:val="hybridMultilevel"/>
    <w:tmpl w:val="E25682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644EF"/>
    <w:multiLevelType w:val="multilevel"/>
    <w:tmpl w:val="D90A130C"/>
    <w:styleLink w:val="Style1"/>
    <w:lvl w:ilvl="0">
      <w:start w:val="1"/>
      <w:numFmt w:val="decimal"/>
      <w:lvlText w:val="%1"/>
      <w:lvlJc w:val="left"/>
      <w:pPr>
        <w:ind w:left="1800" w:hanging="360"/>
      </w:pPr>
      <w:rPr>
        <w:rFonts w:ascii="Cambria" w:hAnsi="Cambria" w:hint="default"/>
      </w:rPr>
    </w:lvl>
    <w:lvl w:ilvl="1">
      <w:start w:val="1"/>
      <w:numFmt w:val="decimal"/>
      <w:lvlText w:val="%2.1"/>
      <w:lvlJc w:val="left"/>
      <w:pPr>
        <w:ind w:left="2160" w:hanging="360"/>
      </w:pPr>
      <w:rPr>
        <w:rFonts w:hint="default"/>
      </w:rPr>
    </w:lvl>
    <w:lvl w:ilvl="2">
      <w:start w:val="1"/>
      <w:numFmt w:val="decimal"/>
      <w:lvlText w:val="%1.%2.1"/>
      <w:lvlJc w:val="left"/>
      <w:pPr>
        <w:ind w:left="2520" w:hanging="360"/>
      </w:pPr>
      <w:rPr>
        <w:rFonts w:hint="default"/>
      </w:rPr>
    </w:lvl>
    <w:lvl w:ilvl="3">
      <w:start w:val="1"/>
      <w:numFmt w:val="decimal"/>
      <w:lvlText w:val="%1.%2.%3.1"/>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 w15:restartNumberingAfterBreak="0">
    <w:nsid w:val="160B5C7B"/>
    <w:multiLevelType w:val="hybridMultilevel"/>
    <w:tmpl w:val="5DC0E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34377F"/>
    <w:multiLevelType w:val="hybridMultilevel"/>
    <w:tmpl w:val="B1F0B5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2465E4"/>
    <w:multiLevelType w:val="hybridMultilevel"/>
    <w:tmpl w:val="426A54B4"/>
    <w:lvl w:ilvl="0" w:tplc="60DE8A98">
      <w:start w:val="1"/>
      <w:numFmt w:val="bullet"/>
      <w:lvlText w:val="·"/>
      <w:lvlJc w:val="left"/>
      <w:pPr>
        <w:tabs>
          <w:tab w:val="num" w:pos="680"/>
        </w:tabs>
        <w:ind w:left="680" w:hanging="6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C2B64"/>
    <w:multiLevelType w:val="hybridMultilevel"/>
    <w:tmpl w:val="C846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D0C7A"/>
    <w:multiLevelType w:val="hybridMultilevel"/>
    <w:tmpl w:val="927AFD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8824843"/>
    <w:multiLevelType w:val="hybridMultilevel"/>
    <w:tmpl w:val="F1085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FF71F2"/>
    <w:multiLevelType w:val="hybridMultilevel"/>
    <w:tmpl w:val="22CE8158"/>
    <w:lvl w:ilvl="0" w:tplc="60DE8A98">
      <w:start w:val="1"/>
      <w:numFmt w:val="bullet"/>
      <w:lvlText w:val="·"/>
      <w:lvlJc w:val="left"/>
      <w:pPr>
        <w:tabs>
          <w:tab w:val="num" w:pos="1400"/>
        </w:tabs>
        <w:ind w:left="1400" w:hanging="68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355FDB"/>
    <w:multiLevelType w:val="multilevel"/>
    <w:tmpl w:val="492A45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187530E"/>
    <w:multiLevelType w:val="multilevel"/>
    <w:tmpl w:val="D6889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C2450D"/>
    <w:multiLevelType w:val="multilevel"/>
    <w:tmpl w:val="6F660D16"/>
    <w:styleLink w:val="Head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633B95"/>
    <w:multiLevelType w:val="hybridMultilevel"/>
    <w:tmpl w:val="EA149D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3D6DC1"/>
    <w:multiLevelType w:val="hybridMultilevel"/>
    <w:tmpl w:val="C03C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95AE7"/>
    <w:multiLevelType w:val="hybridMultilevel"/>
    <w:tmpl w:val="203CF8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CD46414"/>
    <w:multiLevelType w:val="singleLevel"/>
    <w:tmpl w:val="60DE8A98"/>
    <w:lvl w:ilvl="0">
      <w:start w:val="1"/>
      <w:numFmt w:val="bullet"/>
      <w:lvlText w:val="·"/>
      <w:lvlJc w:val="left"/>
      <w:pPr>
        <w:tabs>
          <w:tab w:val="num" w:pos="680"/>
        </w:tabs>
        <w:ind w:left="680" w:hanging="680"/>
      </w:pPr>
      <w:rPr>
        <w:rFonts w:ascii="Symbol" w:hAnsi="Symbol" w:hint="default"/>
      </w:rPr>
    </w:lvl>
  </w:abstractNum>
  <w:abstractNum w:abstractNumId="17" w15:restartNumberingAfterBreak="0">
    <w:nsid w:val="3FB716DC"/>
    <w:multiLevelType w:val="multilevel"/>
    <w:tmpl w:val="D6889F08"/>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462A0C06"/>
    <w:multiLevelType w:val="hybridMultilevel"/>
    <w:tmpl w:val="FDC05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2003ED"/>
    <w:multiLevelType w:val="multilevel"/>
    <w:tmpl w:val="4A6681A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EB4623"/>
    <w:multiLevelType w:val="hybridMultilevel"/>
    <w:tmpl w:val="0544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E1E0D"/>
    <w:multiLevelType w:val="hybridMultilevel"/>
    <w:tmpl w:val="134473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99A0604"/>
    <w:multiLevelType w:val="hybridMultilevel"/>
    <w:tmpl w:val="E71231B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796F1C"/>
    <w:multiLevelType w:val="multilevel"/>
    <w:tmpl w:val="C324B13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0"/>
  </w:num>
  <w:num w:numId="4">
    <w:abstractNumId w:val="10"/>
  </w:num>
  <w:num w:numId="5">
    <w:abstractNumId w:val="13"/>
  </w:num>
  <w:num w:numId="6">
    <w:abstractNumId w:val="8"/>
  </w:num>
  <w:num w:numId="7">
    <w:abstractNumId w:val="4"/>
  </w:num>
  <w:num w:numId="8">
    <w:abstractNumId w:val="19"/>
  </w:num>
  <w:num w:numId="9">
    <w:abstractNumId w:val="17"/>
  </w:num>
  <w:num w:numId="10">
    <w:abstractNumId w:val="11"/>
  </w:num>
  <w:num w:numId="11">
    <w:abstractNumId w:val="23"/>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0"/>
  </w:num>
  <w:num w:numId="15">
    <w:abstractNumId w:val="21"/>
  </w:num>
  <w:num w:numId="16">
    <w:abstractNumId w:val="6"/>
  </w:num>
  <w:num w:numId="17">
    <w:abstractNumId w:val="14"/>
  </w:num>
  <w:num w:numId="18">
    <w:abstractNumId w:val="18"/>
  </w:num>
  <w:num w:numId="19">
    <w:abstractNumId w:val="3"/>
  </w:num>
  <w:num w:numId="20">
    <w:abstractNumId w:val="22"/>
  </w:num>
  <w:num w:numId="21">
    <w:abstractNumId w:val="16"/>
  </w:num>
  <w:num w:numId="22">
    <w:abstractNumId w:val="5"/>
  </w:num>
  <w:num w:numId="23">
    <w:abstractNumId w:val="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tapattu, Dineth">
    <w15:presenceInfo w15:providerId="AD" w15:userId="S-1-5-21-448539723-2077806209-839522115-730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27"/>
    <w:rsid w:val="00005611"/>
    <w:rsid w:val="00047C6F"/>
    <w:rsid w:val="0005140E"/>
    <w:rsid w:val="00060DFD"/>
    <w:rsid w:val="00074B12"/>
    <w:rsid w:val="000A6302"/>
    <w:rsid w:val="000B51CA"/>
    <w:rsid w:val="000C35A5"/>
    <w:rsid w:val="000E2EDF"/>
    <w:rsid w:val="000E4D66"/>
    <w:rsid w:val="00125D30"/>
    <w:rsid w:val="00126287"/>
    <w:rsid w:val="00160EE8"/>
    <w:rsid w:val="00162C50"/>
    <w:rsid w:val="00180B21"/>
    <w:rsid w:val="001972EC"/>
    <w:rsid w:val="001F21EA"/>
    <w:rsid w:val="001F249D"/>
    <w:rsid w:val="001F579A"/>
    <w:rsid w:val="00237F4E"/>
    <w:rsid w:val="002466C7"/>
    <w:rsid w:val="002530A0"/>
    <w:rsid w:val="00262192"/>
    <w:rsid w:val="00272126"/>
    <w:rsid w:val="0028717A"/>
    <w:rsid w:val="00297605"/>
    <w:rsid w:val="002B5365"/>
    <w:rsid w:val="002B5D87"/>
    <w:rsid w:val="002B723C"/>
    <w:rsid w:val="002C4850"/>
    <w:rsid w:val="002D6EA7"/>
    <w:rsid w:val="00305D2D"/>
    <w:rsid w:val="00317A72"/>
    <w:rsid w:val="00343699"/>
    <w:rsid w:val="0034636C"/>
    <w:rsid w:val="00354EA6"/>
    <w:rsid w:val="00364386"/>
    <w:rsid w:val="0039142D"/>
    <w:rsid w:val="003A52D2"/>
    <w:rsid w:val="003C389E"/>
    <w:rsid w:val="003E6252"/>
    <w:rsid w:val="003E62D3"/>
    <w:rsid w:val="004048EF"/>
    <w:rsid w:val="0041206C"/>
    <w:rsid w:val="00420054"/>
    <w:rsid w:val="00430D49"/>
    <w:rsid w:val="0043454F"/>
    <w:rsid w:val="004368AC"/>
    <w:rsid w:val="004409B0"/>
    <w:rsid w:val="00445B8C"/>
    <w:rsid w:val="00465328"/>
    <w:rsid w:val="004667FC"/>
    <w:rsid w:val="00494C0F"/>
    <w:rsid w:val="004D597F"/>
    <w:rsid w:val="00516461"/>
    <w:rsid w:val="00517E1E"/>
    <w:rsid w:val="00522998"/>
    <w:rsid w:val="00534FEE"/>
    <w:rsid w:val="005405BF"/>
    <w:rsid w:val="00546B41"/>
    <w:rsid w:val="00552052"/>
    <w:rsid w:val="00561ABF"/>
    <w:rsid w:val="00571B48"/>
    <w:rsid w:val="00585B40"/>
    <w:rsid w:val="005A0E89"/>
    <w:rsid w:val="005A54A1"/>
    <w:rsid w:val="005B186F"/>
    <w:rsid w:val="005D414A"/>
    <w:rsid w:val="005F4BC6"/>
    <w:rsid w:val="005F6508"/>
    <w:rsid w:val="00611C3A"/>
    <w:rsid w:val="00622818"/>
    <w:rsid w:val="00652153"/>
    <w:rsid w:val="006536FF"/>
    <w:rsid w:val="00671339"/>
    <w:rsid w:val="00671C09"/>
    <w:rsid w:val="00681795"/>
    <w:rsid w:val="0068363C"/>
    <w:rsid w:val="00684789"/>
    <w:rsid w:val="006941B6"/>
    <w:rsid w:val="006A12A0"/>
    <w:rsid w:val="006A7681"/>
    <w:rsid w:val="006D2FE4"/>
    <w:rsid w:val="006F5396"/>
    <w:rsid w:val="0070468C"/>
    <w:rsid w:val="00746927"/>
    <w:rsid w:val="007513A1"/>
    <w:rsid w:val="007572AB"/>
    <w:rsid w:val="007628C6"/>
    <w:rsid w:val="00777C3E"/>
    <w:rsid w:val="007818C3"/>
    <w:rsid w:val="00781C0B"/>
    <w:rsid w:val="007927C1"/>
    <w:rsid w:val="007B5177"/>
    <w:rsid w:val="007C52D3"/>
    <w:rsid w:val="007F366A"/>
    <w:rsid w:val="00804A39"/>
    <w:rsid w:val="008151AF"/>
    <w:rsid w:val="00815E3D"/>
    <w:rsid w:val="00837BCC"/>
    <w:rsid w:val="00846780"/>
    <w:rsid w:val="00854C60"/>
    <w:rsid w:val="00857E18"/>
    <w:rsid w:val="00861A8D"/>
    <w:rsid w:val="00890FF1"/>
    <w:rsid w:val="0089622B"/>
    <w:rsid w:val="008A1C40"/>
    <w:rsid w:val="008B2251"/>
    <w:rsid w:val="00901F27"/>
    <w:rsid w:val="00912C02"/>
    <w:rsid w:val="0092464F"/>
    <w:rsid w:val="00942411"/>
    <w:rsid w:val="009472F4"/>
    <w:rsid w:val="0095355D"/>
    <w:rsid w:val="009645E6"/>
    <w:rsid w:val="00980069"/>
    <w:rsid w:val="009845B4"/>
    <w:rsid w:val="009C0631"/>
    <w:rsid w:val="009C2DA0"/>
    <w:rsid w:val="009D0CD7"/>
    <w:rsid w:val="009E034B"/>
    <w:rsid w:val="009E2DE9"/>
    <w:rsid w:val="00A03111"/>
    <w:rsid w:val="00A33551"/>
    <w:rsid w:val="00A349FD"/>
    <w:rsid w:val="00A414DB"/>
    <w:rsid w:val="00A501A1"/>
    <w:rsid w:val="00A539CE"/>
    <w:rsid w:val="00A54348"/>
    <w:rsid w:val="00AA6D95"/>
    <w:rsid w:val="00AC0AD1"/>
    <w:rsid w:val="00AD68E8"/>
    <w:rsid w:val="00AE3D29"/>
    <w:rsid w:val="00AE5381"/>
    <w:rsid w:val="00AF1E6A"/>
    <w:rsid w:val="00AF35BD"/>
    <w:rsid w:val="00B058B3"/>
    <w:rsid w:val="00B16D6E"/>
    <w:rsid w:val="00B22EE2"/>
    <w:rsid w:val="00B24921"/>
    <w:rsid w:val="00B52103"/>
    <w:rsid w:val="00B5315C"/>
    <w:rsid w:val="00B55794"/>
    <w:rsid w:val="00BC443E"/>
    <w:rsid w:val="00BC7917"/>
    <w:rsid w:val="00BD7089"/>
    <w:rsid w:val="00BD7E0F"/>
    <w:rsid w:val="00BE71BF"/>
    <w:rsid w:val="00BF4EF7"/>
    <w:rsid w:val="00C033E4"/>
    <w:rsid w:val="00C10A6E"/>
    <w:rsid w:val="00C37836"/>
    <w:rsid w:val="00C64E62"/>
    <w:rsid w:val="00C7034C"/>
    <w:rsid w:val="00C71683"/>
    <w:rsid w:val="00C75772"/>
    <w:rsid w:val="00C93D32"/>
    <w:rsid w:val="00C972FD"/>
    <w:rsid w:val="00CA51AB"/>
    <w:rsid w:val="00CA5D3F"/>
    <w:rsid w:val="00CB69FA"/>
    <w:rsid w:val="00CB7227"/>
    <w:rsid w:val="00CC69DE"/>
    <w:rsid w:val="00CC73B4"/>
    <w:rsid w:val="00CD342A"/>
    <w:rsid w:val="00CF503D"/>
    <w:rsid w:val="00CF6ED0"/>
    <w:rsid w:val="00D20CDC"/>
    <w:rsid w:val="00D36976"/>
    <w:rsid w:val="00D50908"/>
    <w:rsid w:val="00D74D36"/>
    <w:rsid w:val="00DA5245"/>
    <w:rsid w:val="00DB2380"/>
    <w:rsid w:val="00DB2FD4"/>
    <w:rsid w:val="00DC3BDF"/>
    <w:rsid w:val="00DD4461"/>
    <w:rsid w:val="00DD78D5"/>
    <w:rsid w:val="00E009A5"/>
    <w:rsid w:val="00E066B5"/>
    <w:rsid w:val="00E33A3A"/>
    <w:rsid w:val="00E3576F"/>
    <w:rsid w:val="00E6722F"/>
    <w:rsid w:val="00E7185C"/>
    <w:rsid w:val="00E76D47"/>
    <w:rsid w:val="00E91D4D"/>
    <w:rsid w:val="00EB31C5"/>
    <w:rsid w:val="00ED0836"/>
    <w:rsid w:val="00EE065D"/>
    <w:rsid w:val="00EE1B1C"/>
    <w:rsid w:val="00EE5BB2"/>
    <w:rsid w:val="00F03B9E"/>
    <w:rsid w:val="00F047F9"/>
    <w:rsid w:val="00F12D22"/>
    <w:rsid w:val="00F15360"/>
    <w:rsid w:val="00F265F6"/>
    <w:rsid w:val="00F34E55"/>
    <w:rsid w:val="00F40E1E"/>
    <w:rsid w:val="00F46852"/>
    <w:rsid w:val="00F7061C"/>
    <w:rsid w:val="00FB515D"/>
    <w:rsid w:val="00FC1F19"/>
    <w:rsid w:val="00FD43EE"/>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F24467"/>
  <w15:chartTrackingRefBased/>
  <w15:docId w15:val="{CCF1D40A-8CB4-4181-B021-F7388F66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9FA"/>
    <w:pPr>
      <w:tabs>
        <w:tab w:val="left" w:leader="dot" w:pos="720"/>
      </w:tabs>
      <w:spacing w:after="200" w:line="276" w:lineRule="auto"/>
      <w:jc w:val="both"/>
    </w:pPr>
    <w:rPr>
      <w:rFonts w:asciiTheme="majorHAnsi" w:eastAsia="Calibri" w:hAnsiTheme="majorHAnsi" w:cs="Times New Roman"/>
    </w:rPr>
  </w:style>
  <w:style w:type="paragraph" w:styleId="Heading1">
    <w:name w:val="heading 1"/>
    <w:basedOn w:val="Normal"/>
    <w:next w:val="Normal"/>
    <w:link w:val="Heading1Char"/>
    <w:uiPriority w:val="9"/>
    <w:qFormat/>
    <w:rsid w:val="00FD43EE"/>
    <w:pPr>
      <w:keepNext/>
      <w:keepLines/>
      <w:numPr>
        <w:numId w:val="8"/>
      </w:numPr>
      <w:spacing w:before="240" w:after="0"/>
      <w:jc w:val="left"/>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CB69FA"/>
    <w:pPr>
      <w:keepNext/>
      <w:keepLines/>
      <w:numPr>
        <w:ilvl w:val="1"/>
        <w:numId w:val="8"/>
      </w:numPr>
      <w:spacing w:before="40" w:after="0"/>
      <w:jc w:val="left"/>
      <w:outlineLvl w:val="1"/>
    </w:pPr>
    <w:rPr>
      <w:rFonts w:ascii="Cambria" w:eastAsiaTheme="majorEastAsia" w:hAnsi="Cambria" w:cstheme="majorBidi"/>
      <w:b/>
      <w:sz w:val="26"/>
      <w:szCs w:val="26"/>
    </w:rPr>
  </w:style>
  <w:style w:type="paragraph" w:styleId="Heading3">
    <w:name w:val="heading 3"/>
    <w:basedOn w:val="Normal"/>
    <w:next w:val="Normal"/>
    <w:link w:val="Heading3Char"/>
    <w:uiPriority w:val="9"/>
    <w:unhideWhenUsed/>
    <w:qFormat/>
    <w:rsid w:val="00272126"/>
    <w:pPr>
      <w:keepNext/>
      <w:keepLines/>
      <w:numPr>
        <w:ilvl w:val="2"/>
        <w:numId w:val="8"/>
      </w:numPr>
      <w:spacing w:before="40" w:after="0"/>
      <w:jc w:val="lef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628C6"/>
    <w:pPr>
      <w:keepNext/>
      <w:keepLines/>
      <w:numPr>
        <w:ilvl w:val="3"/>
        <w:numId w:val="8"/>
      </w:numPr>
      <w:spacing w:before="40" w:after="0"/>
      <w:outlineLvl w:val="3"/>
    </w:pPr>
    <w:rPr>
      <w:rFonts w:eastAsiaTheme="majorEastAsia" w:cstheme="majorBidi"/>
      <w:b/>
      <w:iCs/>
    </w:rPr>
  </w:style>
  <w:style w:type="paragraph" w:styleId="Heading5">
    <w:name w:val="heading 5"/>
    <w:basedOn w:val="Heading4"/>
    <w:next w:val="Normal"/>
    <w:link w:val="Heading5Char"/>
    <w:uiPriority w:val="9"/>
    <w:unhideWhenUsed/>
    <w:qFormat/>
    <w:rsid w:val="00DD78D5"/>
    <w:pPr>
      <w:tabs>
        <w:tab w:val="clear" w:pos="720"/>
        <w:tab w:val="left" w:pos="540"/>
      </w:tabs>
      <w:outlineLvl w:val="4"/>
    </w:pPr>
  </w:style>
  <w:style w:type="paragraph" w:styleId="Heading6">
    <w:name w:val="heading 6"/>
    <w:basedOn w:val="Normal"/>
    <w:next w:val="Normal"/>
    <w:link w:val="Heading6Char"/>
    <w:uiPriority w:val="9"/>
    <w:unhideWhenUsed/>
    <w:qFormat/>
    <w:rsid w:val="006D2FE4"/>
    <w:pPr>
      <w:keepNext/>
      <w:keepLines/>
      <w:numPr>
        <w:ilvl w:val="5"/>
        <w:numId w:val="4"/>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6D2FE4"/>
    <w:pPr>
      <w:keepNext/>
      <w:keepLines/>
      <w:numPr>
        <w:ilvl w:val="6"/>
        <w:numId w:val="4"/>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6D2FE4"/>
    <w:pPr>
      <w:keepNext/>
      <w:keepLines/>
      <w:numPr>
        <w:ilvl w:val="7"/>
        <w:numId w:val="4"/>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2FE4"/>
    <w:pPr>
      <w:keepNext/>
      <w:keepLines/>
      <w:numPr>
        <w:ilvl w:val="8"/>
        <w:numId w:val="4"/>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454F"/>
    <w:pPr>
      <w:tabs>
        <w:tab w:val="center" w:pos="4680"/>
        <w:tab w:val="right" w:pos="9360"/>
      </w:tabs>
    </w:pPr>
  </w:style>
  <w:style w:type="character" w:customStyle="1" w:styleId="HeaderChar">
    <w:name w:val="Header Char"/>
    <w:basedOn w:val="DefaultParagraphFont"/>
    <w:link w:val="Header"/>
    <w:rsid w:val="0043454F"/>
    <w:rPr>
      <w:rFonts w:ascii="Arial Narrow" w:eastAsia="Calibri" w:hAnsi="Arial Narrow" w:cs="Times New Roman"/>
    </w:rPr>
  </w:style>
  <w:style w:type="paragraph" w:styleId="ListParagraph">
    <w:name w:val="List Paragraph"/>
    <w:basedOn w:val="Normal"/>
    <w:link w:val="ListParagraphChar"/>
    <w:uiPriority w:val="34"/>
    <w:qFormat/>
    <w:rsid w:val="0043454F"/>
    <w:pPr>
      <w:ind w:left="720"/>
      <w:contextualSpacing/>
    </w:pPr>
  </w:style>
  <w:style w:type="paragraph" w:styleId="BodyText">
    <w:name w:val="Body Text"/>
    <w:basedOn w:val="Normal"/>
    <w:link w:val="BodyTextChar"/>
    <w:uiPriority w:val="99"/>
    <w:unhideWhenUsed/>
    <w:rsid w:val="0043454F"/>
    <w:pPr>
      <w:spacing w:after="120"/>
    </w:pPr>
  </w:style>
  <w:style w:type="character" w:customStyle="1" w:styleId="BodyTextChar">
    <w:name w:val="Body Text Char"/>
    <w:basedOn w:val="DefaultParagraphFont"/>
    <w:link w:val="BodyText"/>
    <w:uiPriority w:val="99"/>
    <w:rsid w:val="0043454F"/>
    <w:rPr>
      <w:rFonts w:ascii="Arial Narrow" w:eastAsia="Calibri" w:hAnsi="Arial Narrow" w:cs="Times New Roman"/>
    </w:rPr>
  </w:style>
  <w:style w:type="character" w:customStyle="1" w:styleId="ListParagraphChar">
    <w:name w:val="List Paragraph Char"/>
    <w:link w:val="ListParagraph"/>
    <w:uiPriority w:val="99"/>
    <w:locked/>
    <w:rsid w:val="0043454F"/>
    <w:rPr>
      <w:rFonts w:ascii="Arial Narrow" w:eastAsia="Calibri" w:hAnsi="Arial Narrow" w:cs="Times New Roman"/>
    </w:rPr>
  </w:style>
  <w:style w:type="table" w:styleId="TableGrid">
    <w:name w:val="Table Grid"/>
    <w:basedOn w:val="TableNormal"/>
    <w:uiPriority w:val="59"/>
    <w:rsid w:val="0043454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F6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DC"/>
    <w:rPr>
      <w:rFonts w:ascii="Arial Narrow" w:eastAsia="Calibri" w:hAnsi="Arial Narrow" w:cs="Times New Roman"/>
    </w:rPr>
  </w:style>
  <w:style w:type="character" w:customStyle="1" w:styleId="Heading1Char">
    <w:name w:val="Heading 1 Char"/>
    <w:basedOn w:val="DefaultParagraphFont"/>
    <w:link w:val="Heading1"/>
    <w:uiPriority w:val="9"/>
    <w:rsid w:val="00FD43EE"/>
    <w:rPr>
      <w:rFonts w:ascii="Cambria" w:eastAsiaTheme="majorEastAsia" w:hAnsi="Cambria" w:cstheme="majorBidi"/>
      <w:b/>
      <w:sz w:val="28"/>
      <w:szCs w:val="32"/>
    </w:rPr>
  </w:style>
  <w:style w:type="character" w:customStyle="1" w:styleId="Heading2Char">
    <w:name w:val="Heading 2 Char"/>
    <w:basedOn w:val="DefaultParagraphFont"/>
    <w:link w:val="Heading2"/>
    <w:uiPriority w:val="9"/>
    <w:rsid w:val="00CB69FA"/>
    <w:rPr>
      <w:rFonts w:ascii="Cambria" w:eastAsiaTheme="majorEastAsia" w:hAnsi="Cambria" w:cstheme="majorBidi"/>
      <w:b/>
      <w:sz w:val="26"/>
      <w:szCs w:val="26"/>
    </w:rPr>
  </w:style>
  <w:style w:type="numbering" w:customStyle="1" w:styleId="Heading">
    <w:name w:val="Heading"/>
    <w:uiPriority w:val="99"/>
    <w:rsid w:val="00FD43EE"/>
    <w:pPr>
      <w:numPr>
        <w:numId w:val="1"/>
      </w:numPr>
    </w:pPr>
  </w:style>
  <w:style w:type="numbering" w:customStyle="1" w:styleId="Style1">
    <w:name w:val="Style1"/>
    <w:uiPriority w:val="99"/>
    <w:rsid w:val="00FD43EE"/>
    <w:pPr>
      <w:numPr>
        <w:numId w:val="2"/>
      </w:numPr>
    </w:pPr>
  </w:style>
  <w:style w:type="paragraph" w:customStyle="1" w:styleId="TableText">
    <w:name w:val="Table Text"/>
    <w:basedOn w:val="Normal"/>
    <w:rsid w:val="00AF35BD"/>
    <w:pPr>
      <w:spacing w:after="0" w:line="240" w:lineRule="auto"/>
      <w:jc w:val="left"/>
    </w:pPr>
    <w:rPr>
      <w:rFonts w:ascii="Calibri" w:eastAsia="Times New Roman" w:hAnsi="Calibri" w:cs="Arial"/>
      <w:sz w:val="20"/>
      <w:szCs w:val="20"/>
      <w:lang w:val="en-CA"/>
    </w:rPr>
  </w:style>
  <w:style w:type="paragraph" w:customStyle="1" w:styleId="DocID">
    <w:name w:val="DocID"/>
    <w:basedOn w:val="Normal"/>
    <w:link w:val="DocIDChar"/>
    <w:semiHidden/>
    <w:rsid w:val="00AF35BD"/>
    <w:pPr>
      <w:spacing w:before="40" w:after="40" w:line="240" w:lineRule="auto"/>
      <w:jc w:val="right"/>
    </w:pPr>
    <w:rPr>
      <w:rFonts w:ascii="Calibri" w:eastAsia="Times New Roman" w:hAnsi="Calibri" w:cs="Arial"/>
      <w:sz w:val="14"/>
      <w:szCs w:val="20"/>
      <w:lang w:val="en-AU" w:eastAsia="en-AU"/>
    </w:rPr>
  </w:style>
  <w:style w:type="character" w:customStyle="1" w:styleId="DocIDChar">
    <w:name w:val="DocID Char"/>
    <w:basedOn w:val="DefaultParagraphFont"/>
    <w:link w:val="DocID"/>
    <w:semiHidden/>
    <w:rsid w:val="00AF35BD"/>
    <w:rPr>
      <w:rFonts w:ascii="Calibri" w:eastAsia="Times New Roman" w:hAnsi="Calibri" w:cs="Arial"/>
      <w:sz w:val="14"/>
      <w:szCs w:val="20"/>
      <w:lang w:val="en-AU" w:eastAsia="en-AU"/>
    </w:rPr>
  </w:style>
  <w:style w:type="paragraph" w:styleId="Title">
    <w:name w:val="Title"/>
    <w:basedOn w:val="Normal"/>
    <w:next w:val="BodyText"/>
    <w:link w:val="TitleChar"/>
    <w:qFormat/>
    <w:rsid w:val="00AF35BD"/>
    <w:pPr>
      <w:spacing w:after="240" w:line="240" w:lineRule="auto"/>
      <w:jc w:val="center"/>
    </w:pPr>
    <w:rPr>
      <w:rFonts w:ascii="Calibri" w:eastAsia="Times New Roman" w:hAnsi="Calibri" w:cs="Arial"/>
      <w:b/>
      <w:sz w:val="28"/>
      <w:szCs w:val="20"/>
      <w:lang w:val="en-CA"/>
    </w:rPr>
  </w:style>
  <w:style w:type="character" w:customStyle="1" w:styleId="TitleChar">
    <w:name w:val="Title Char"/>
    <w:basedOn w:val="DefaultParagraphFont"/>
    <w:link w:val="Title"/>
    <w:rsid w:val="00AF35BD"/>
    <w:rPr>
      <w:rFonts w:ascii="Calibri" w:eastAsia="Times New Roman" w:hAnsi="Calibri" w:cs="Arial"/>
      <w:b/>
      <w:sz w:val="28"/>
      <w:szCs w:val="20"/>
      <w:lang w:val="en-CA"/>
    </w:rPr>
  </w:style>
  <w:style w:type="paragraph" w:styleId="ListNumber5">
    <w:name w:val="List Number 5"/>
    <w:basedOn w:val="Normal"/>
    <w:semiHidden/>
    <w:rsid w:val="00AF35BD"/>
    <w:pPr>
      <w:numPr>
        <w:numId w:val="3"/>
      </w:numPr>
      <w:tabs>
        <w:tab w:val="clear" w:pos="1800"/>
        <w:tab w:val="left" w:pos="2875"/>
      </w:tabs>
      <w:spacing w:after="140" w:line="280" w:lineRule="atLeast"/>
      <w:ind w:left="2874" w:hanging="357"/>
      <w:jc w:val="left"/>
    </w:pPr>
    <w:rPr>
      <w:rFonts w:ascii="Calibri" w:eastAsia="Times New Roman" w:hAnsi="Calibri" w:cs="Arial"/>
      <w:sz w:val="20"/>
      <w:szCs w:val="20"/>
      <w:lang w:val="en-CA"/>
    </w:rPr>
  </w:style>
  <w:style w:type="character" w:customStyle="1" w:styleId="Heading3Char">
    <w:name w:val="Heading 3 Char"/>
    <w:basedOn w:val="DefaultParagraphFont"/>
    <w:link w:val="Heading3"/>
    <w:uiPriority w:val="9"/>
    <w:rsid w:val="00272126"/>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7628C6"/>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DD78D5"/>
    <w:rPr>
      <w:rFonts w:asciiTheme="majorHAnsi" w:eastAsiaTheme="majorEastAsia" w:hAnsiTheme="majorHAnsi" w:cstheme="majorBidi"/>
      <w:b/>
      <w:iCs/>
    </w:rPr>
  </w:style>
  <w:style w:type="character" w:customStyle="1" w:styleId="Heading6Char">
    <w:name w:val="Heading 6 Char"/>
    <w:basedOn w:val="DefaultParagraphFont"/>
    <w:link w:val="Heading6"/>
    <w:uiPriority w:val="9"/>
    <w:rsid w:val="006D2FE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D2FE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D2F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2FE4"/>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8B2251"/>
    <w:rPr>
      <w:color w:val="808080"/>
    </w:rPr>
  </w:style>
  <w:style w:type="paragraph" w:styleId="Caption">
    <w:name w:val="caption"/>
    <w:basedOn w:val="Normal"/>
    <w:next w:val="Normal"/>
    <w:uiPriority w:val="35"/>
    <w:unhideWhenUsed/>
    <w:qFormat/>
    <w:rsid w:val="003C389E"/>
    <w:pPr>
      <w:spacing w:line="240" w:lineRule="auto"/>
    </w:pPr>
    <w:rPr>
      <w:i/>
      <w:iCs/>
      <w:color w:val="44546A" w:themeColor="text2"/>
      <w:sz w:val="18"/>
      <w:szCs w:val="18"/>
    </w:rPr>
  </w:style>
  <w:style w:type="paragraph" w:styleId="NoSpacing">
    <w:name w:val="No Spacing"/>
    <w:uiPriority w:val="1"/>
    <w:qFormat/>
    <w:rsid w:val="004409B0"/>
    <w:pPr>
      <w:tabs>
        <w:tab w:val="left" w:leader="dot" w:pos="720"/>
      </w:tabs>
      <w:spacing w:after="0" w:line="240" w:lineRule="auto"/>
      <w:jc w:val="both"/>
    </w:pPr>
    <w:rPr>
      <w:rFonts w:asciiTheme="majorHAnsi" w:eastAsia="Calibri" w:hAnsiTheme="majorHAnsi" w:cs="Times New Roman"/>
    </w:rPr>
  </w:style>
  <w:style w:type="character" w:styleId="CommentReference">
    <w:name w:val="annotation reference"/>
    <w:basedOn w:val="DefaultParagraphFont"/>
    <w:uiPriority w:val="99"/>
    <w:semiHidden/>
    <w:unhideWhenUsed/>
    <w:rsid w:val="0028717A"/>
    <w:rPr>
      <w:sz w:val="16"/>
      <w:szCs w:val="16"/>
    </w:rPr>
  </w:style>
  <w:style w:type="paragraph" w:styleId="CommentText">
    <w:name w:val="annotation text"/>
    <w:basedOn w:val="Normal"/>
    <w:link w:val="CommentTextChar"/>
    <w:uiPriority w:val="99"/>
    <w:semiHidden/>
    <w:unhideWhenUsed/>
    <w:rsid w:val="0028717A"/>
    <w:pPr>
      <w:spacing w:line="240" w:lineRule="auto"/>
    </w:pPr>
    <w:rPr>
      <w:sz w:val="20"/>
      <w:szCs w:val="20"/>
    </w:rPr>
  </w:style>
  <w:style w:type="character" w:customStyle="1" w:styleId="CommentTextChar">
    <w:name w:val="Comment Text Char"/>
    <w:basedOn w:val="DefaultParagraphFont"/>
    <w:link w:val="CommentText"/>
    <w:uiPriority w:val="99"/>
    <w:semiHidden/>
    <w:rsid w:val="0028717A"/>
    <w:rPr>
      <w:rFonts w:asciiTheme="majorHAnsi" w:eastAsia="Calibr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28717A"/>
    <w:rPr>
      <w:b/>
      <w:bCs/>
    </w:rPr>
  </w:style>
  <w:style w:type="character" w:customStyle="1" w:styleId="CommentSubjectChar">
    <w:name w:val="Comment Subject Char"/>
    <w:basedOn w:val="CommentTextChar"/>
    <w:link w:val="CommentSubject"/>
    <w:uiPriority w:val="99"/>
    <w:semiHidden/>
    <w:rsid w:val="0028717A"/>
    <w:rPr>
      <w:rFonts w:asciiTheme="majorHAnsi" w:eastAsia="Calibri" w:hAnsiTheme="majorHAnsi" w:cs="Times New Roman"/>
      <w:b/>
      <w:bCs/>
      <w:sz w:val="20"/>
      <w:szCs w:val="20"/>
    </w:rPr>
  </w:style>
  <w:style w:type="paragraph" w:styleId="BalloonText">
    <w:name w:val="Balloon Text"/>
    <w:basedOn w:val="Normal"/>
    <w:link w:val="BalloonTextChar"/>
    <w:uiPriority w:val="99"/>
    <w:semiHidden/>
    <w:unhideWhenUsed/>
    <w:rsid w:val="00287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17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74990-18B4-4DAE-A4D5-733EB06E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7656</TotalTime>
  <Pages>12</Pages>
  <Words>3259</Words>
  <Characters>18580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Atapattu, Dineth</dc:creator>
  <cp:keywords/>
  <dc:description/>
  <cp:lastModifiedBy>Atapattu, Dineth</cp:lastModifiedBy>
  <cp:revision>34</cp:revision>
  <dcterms:created xsi:type="dcterms:W3CDTF">2019-06-03T03:10:00Z</dcterms:created>
  <dcterms:modified xsi:type="dcterms:W3CDTF">2019-06-19T02:18:00Z</dcterms:modified>
</cp:coreProperties>
</file>